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0B9" w:rsidRDefault="004250B9" w:rsidP="004250B9">
      <w:pPr>
        <w:pStyle w:val="NoSpacing"/>
        <w:rPr>
          <w:lang w:eastAsia="en-AU"/>
        </w:rPr>
      </w:pPr>
      <w:r w:rsidRPr="004250B9">
        <w:rPr>
          <w:lang w:eastAsia="en-AU"/>
        </w:rPr>
        <w:t>CCUPATIONAL SAFETY AND HEALTH ACT 1984 - SECT 3A</w:t>
      </w:r>
    </w:p>
    <w:p w:rsidR="004250B9" w:rsidRPr="004250B9" w:rsidRDefault="004250B9" w:rsidP="004250B9">
      <w:pPr>
        <w:pStyle w:val="NoSpacing"/>
        <w:rPr>
          <w:lang w:eastAsia="en-AU"/>
        </w:rPr>
      </w:pPr>
    </w:p>
    <w:p w:rsidR="004250B9" w:rsidRPr="004250B9" w:rsidRDefault="004250B9" w:rsidP="004250B9">
      <w:pPr>
        <w:pStyle w:val="NoSpacing"/>
        <w:rPr>
          <w:lang w:eastAsia="en-AU"/>
        </w:rPr>
      </w:pPr>
      <w:bookmarkStart w:id="0" w:name="_Toc397958468"/>
      <w:bookmarkStart w:id="1" w:name="_Toc421720651"/>
      <w:bookmarkStart w:id="2" w:name="Heading462"/>
      <w:bookmarkEnd w:id="0"/>
      <w:bookmarkEnd w:id="1"/>
      <w:bookmarkEnd w:id="2"/>
      <w:proofErr w:type="gramStart"/>
      <w:r w:rsidRPr="004250B9">
        <w:rPr>
          <w:lang w:eastAsia="en-AU"/>
        </w:rPr>
        <w:t>3A .</w:t>
      </w:r>
      <w:proofErr w:type="gramEnd"/>
      <w:r w:rsidRPr="004250B9">
        <w:rPr>
          <w:lang w:eastAsia="en-AU"/>
        </w:rPr>
        <w:t xml:space="preserve">         Penalty levels defined</w:t>
      </w:r>
    </w:p>
    <w:p w:rsidR="004250B9" w:rsidRPr="004250B9" w:rsidRDefault="004250B9" w:rsidP="004250B9">
      <w:pPr>
        <w:pStyle w:val="NoSpacing"/>
        <w:rPr>
          <w:lang w:eastAsia="en-AU"/>
        </w:rPr>
      </w:pPr>
      <w:r w:rsidRPr="004250B9">
        <w:rPr>
          <w:lang w:eastAsia="en-AU"/>
        </w:rPr>
        <w:t>        (1)         Where a person is liable to a level one penalty for an offence against this Act the person is liable — </w:t>
      </w:r>
    </w:p>
    <w:p w:rsidR="004250B9" w:rsidRPr="004250B9" w:rsidRDefault="004250B9" w:rsidP="004250B9">
      <w:pPr>
        <w:pStyle w:val="NoSpacing"/>
        <w:rPr>
          <w:lang w:eastAsia="en-AU"/>
        </w:rPr>
      </w:pPr>
      <w:r w:rsidRPr="004250B9">
        <w:rPr>
          <w:lang w:eastAsia="en-AU"/>
        </w:rPr>
        <w:t xml:space="preserve">            (a)         </w:t>
      </w:r>
      <w:proofErr w:type="gramStart"/>
      <w:r w:rsidRPr="004250B9">
        <w:rPr>
          <w:lang w:eastAsia="en-AU"/>
        </w:rPr>
        <w:t>if</w:t>
      </w:r>
      <w:proofErr w:type="gramEnd"/>
      <w:r w:rsidRPr="004250B9">
        <w:rPr>
          <w:lang w:eastAsia="en-AU"/>
        </w:rPr>
        <w:t xml:space="preserve"> the offence was committed by the person as an employee — </w:t>
      </w:r>
    </w:p>
    <w:p w:rsidR="004250B9" w:rsidRPr="004250B9" w:rsidRDefault="004250B9" w:rsidP="004250B9">
      <w:pPr>
        <w:pStyle w:val="NoSpacing"/>
        <w:rPr>
          <w:lang w:eastAsia="en-AU"/>
        </w:rPr>
      </w:pPr>
      <w:r w:rsidRPr="004250B9">
        <w:rPr>
          <w:lang w:eastAsia="en-AU"/>
        </w:rPr>
        <w:t>                  (</w:t>
      </w:r>
      <w:proofErr w:type="spellStart"/>
      <w:r w:rsidRPr="004250B9">
        <w:rPr>
          <w:lang w:eastAsia="en-AU"/>
        </w:rPr>
        <w:t>i</w:t>
      </w:r>
      <w:proofErr w:type="spellEnd"/>
      <w:r w:rsidRPr="004250B9">
        <w:rPr>
          <w:lang w:eastAsia="en-AU"/>
        </w:rPr>
        <w:t xml:space="preserve">)         </w:t>
      </w:r>
      <w:proofErr w:type="gramStart"/>
      <w:r w:rsidRPr="004250B9">
        <w:rPr>
          <w:lang w:eastAsia="en-AU"/>
        </w:rPr>
        <w:t>for</w:t>
      </w:r>
      <w:proofErr w:type="gramEnd"/>
      <w:r w:rsidRPr="004250B9">
        <w:rPr>
          <w:lang w:eastAsia="en-AU"/>
        </w:rPr>
        <w:t xml:space="preserve"> a first offence, to a fine of $5 000; and </w:t>
      </w:r>
    </w:p>
    <w:p w:rsidR="004250B9" w:rsidRPr="004250B9" w:rsidRDefault="004250B9" w:rsidP="004250B9">
      <w:pPr>
        <w:pStyle w:val="NoSpacing"/>
        <w:rPr>
          <w:lang w:eastAsia="en-AU"/>
        </w:rPr>
      </w:pPr>
      <w:r w:rsidRPr="004250B9">
        <w:rPr>
          <w:lang w:eastAsia="en-AU"/>
        </w:rPr>
        <w:t xml:space="preserve">                  (ii)         </w:t>
      </w:r>
      <w:proofErr w:type="gramStart"/>
      <w:r w:rsidRPr="004250B9">
        <w:rPr>
          <w:lang w:eastAsia="en-AU"/>
        </w:rPr>
        <w:t>for</w:t>
      </w:r>
      <w:proofErr w:type="gramEnd"/>
      <w:r w:rsidRPr="004250B9">
        <w:rPr>
          <w:lang w:eastAsia="en-AU"/>
        </w:rPr>
        <w:t xml:space="preserve"> a subsequent offence, to a fine of $6 250; </w:t>
      </w:r>
    </w:p>
    <w:p w:rsidR="004250B9" w:rsidRPr="004250B9" w:rsidRDefault="004250B9" w:rsidP="004250B9">
      <w:pPr>
        <w:pStyle w:val="NoSpacing"/>
        <w:rPr>
          <w:lang w:eastAsia="en-AU"/>
        </w:rPr>
      </w:pPr>
      <w:r w:rsidRPr="004250B9">
        <w:rPr>
          <w:lang w:eastAsia="en-AU"/>
        </w:rPr>
        <w:t xml:space="preserve">            (b)         </w:t>
      </w:r>
      <w:proofErr w:type="gramStart"/>
      <w:r w:rsidRPr="004250B9">
        <w:rPr>
          <w:lang w:eastAsia="en-AU"/>
        </w:rPr>
        <w:t>if</w:t>
      </w:r>
      <w:proofErr w:type="gramEnd"/>
      <w:r w:rsidRPr="004250B9">
        <w:rPr>
          <w:lang w:eastAsia="en-AU"/>
        </w:rPr>
        <w:t xml:space="preserve"> paragraph (a) does not apply — </w:t>
      </w:r>
    </w:p>
    <w:p w:rsidR="004250B9" w:rsidRPr="004250B9" w:rsidRDefault="004250B9" w:rsidP="004250B9">
      <w:pPr>
        <w:pStyle w:val="NoSpacing"/>
        <w:rPr>
          <w:lang w:eastAsia="en-AU"/>
        </w:rPr>
      </w:pPr>
      <w:r w:rsidRPr="004250B9">
        <w:rPr>
          <w:lang w:eastAsia="en-AU"/>
        </w:rPr>
        <w:t>                  (</w:t>
      </w:r>
      <w:proofErr w:type="spellStart"/>
      <w:r w:rsidRPr="004250B9">
        <w:rPr>
          <w:lang w:eastAsia="en-AU"/>
        </w:rPr>
        <w:t>i</w:t>
      </w:r>
      <w:proofErr w:type="spellEnd"/>
      <w:r w:rsidRPr="004250B9">
        <w:rPr>
          <w:lang w:eastAsia="en-AU"/>
        </w:rPr>
        <w:t xml:space="preserve">)         </w:t>
      </w:r>
      <w:proofErr w:type="gramStart"/>
      <w:r w:rsidRPr="004250B9">
        <w:rPr>
          <w:lang w:eastAsia="en-AU"/>
        </w:rPr>
        <w:t>in</w:t>
      </w:r>
      <w:proofErr w:type="gramEnd"/>
      <w:r w:rsidRPr="004250B9">
        <w:rPr>
          <w:lang w:eastAsia="en-AU"/>
        </w:rPr>
        <w:t xml:space="preserve"> the case of an individual — </w:t>
      </w:r>
    </w:p>
    <w:p w:rsidR="004250B9" w:rsidRPr="004250B9" w:rsidRDefault="004250B9" w:rsidP="004250B9">
      <w:pPr>
        <w:pStyle w:val="NoSpacing"/>
        <w:rPr>
          <w:lang w:eastAsia="en-AU"/>
        </w:rPr>
      </w:pPr>
      <w:r w:rsidRPr="004250B9">
        <w:rPr>
          <w:lang w:eastAsia="en-AU"/>
        </w:rPr>
        <w:t>                        (I)         for a first offence, to a fine of $25 000; and </w:t>
      </w:r>
    </w:p>
    <w:p w:rsidR="004250B9" w:rsidRPr="004250B9" w:rsidRDefault="004250B9" w:rsidP="004250B9">
      <w:pPr>
        <w:pStyle w:val="NoSpacing"/>
        <w:rPr>
          <w:lang w:eastAsia="en-AU"/>
        </w:rPr>
      </w:pPr>
      <w:r w:rsidRPr="004250B9">
        <w:rPr>
          <w:lang w:eastAsia="en-AU"/>
        </w:rPr>
        <w:t xml:space="preserve">        (II)         </w:t>
      </w:r>
      <w:proofErr w:type="gramStart"/>
      <w:r w:rsidRPr="004250B9">
        <w:rPr>
          <w:lang w:eastAsia="en-AU"/>
        </w:rPr>
        <w:t>for</w:t>
      </w:r>
      <w:proofErr w:type="gramEnd"/>
      <w:r w:rsidRPr="004250B9">
        <w:rPr>
          <w:lang w:eastAsia="en-AU"/>
        </w:rPr>
        <w:t xml:space="preserve"> a subsequent offence, to a fine of $31 250; </w:t>
      </w:r>
    </w:p>
    <w:p w:rsidR="004250B9" w:rsidRPr="004250B9" w:rsidRDefault="004250B9" w:rsidP="004250B9">
      <w:pPr>
        <w:pStyle w:val="NoSpacing"/>
        <w:rPr>
          <w:lang w:eastAsia="en-AU"/>
        </w:rPr>
      </w:pPr>
      <w:r w:rsidRPr="004250B9">
        <w:rPr>
          <w:lang w:eastAsia="en-AU"/>
        </w:rPr>
        <w:t xml:space="preserve">                </w:t>
      </w:r>
      <w:proofErr w:type="gramStart"/>
      <w:r w:rsidRPr="004250B9">
        <w:rPr>
          <w:lang w:eastAsia="en-AU"/>
        </w:rPr>
        <w:t>or</w:t>
      </w:r>
      <w:proofErr w:type="gramEnd"/>
      <w:r w:rsidRPr="004250B9">
        <w:rPr>
          <w:lang w:eastAsia="en-AU"/>
        </w:rPr>
        <w:t> </w:t>
      </w:r>
    </w:p>
    <w:p w:rsidR="004250B9" w:rsidRPr="004250B9" w:rsidRDefault="004250B9" w:rsidP="004250B9">
      <w:pPr>
        <w:pStyle w:val="NoSpacing"/>
        <w:rPr>
          <w:lang w:eastAsia="en-AU"/>
        </w:rPr>
      </w:pPr>
      <w:r w:rsidRPr="004250B9">
        <w:rPr>
          <w:lang w:eastAsia="en-AU"/>
        </w:rPr>
        <w:t xml:space="preserve">                  (ii)         </w:t>
      </w:r>
      <w:proofErr w:type="gramStart"/>
      <w:r w:rsidRPr="004250B9">
        <w:rPr>
          <w:lang w:eastAsia="en-AU"/>
        </w:rPr>
        <w:t>in</w:t>
      </w:r>
      <w:proofErr w:type="gramEnd"/>
      <w:r w:rsidRPr="004250B9">
        <w:rPr>
          <w:lang w:eastAsia="en-AU"/>
        </w:rPr>
        <w:t xml:space="preserve"> the case of a body corporate — </w:t>
      </w:r>
    </w:p>
    <w:p w:rsidR="004250B9" w:rsidRPr="004250B9" w:rsidRDefault="004250B9" w:rsidP="004250B9">
      <w:pPr>
        <w:pStyle w:val="NoSpacing"/>
        <w:rPr>
          <w:lang w:eastAsia="en-AU"/>
        </w:rPr>
      </w:pPr>
      <w:r w:rsidRPr="004250B9">
        <w:rPr>
          <w:lang w:eastAsia="en-AU"/>
        </w:rPr>
        <w:t>                        (I)         for a first offence, to a fine of $50 000; and </w:t>
      </w:r>
    </w:p>
    <w:p w:rsidR="004250B9" w:rsidRDefault="004250B9" w:rsidP="004250B9">
      <w:pPr>
        <w:pStyle w:val="NoSpacing"/>
        <w:rPr>
          <w:lang w:eastAsia="en-AU"/>
        </w:rPr>
      </w:pPr>
      <w:r w:rsidRPr="004250B9">
        <w:rPr>
          <w:lang w:eastAsia="en-AU"/>
        </w:rPr>
        <w:t xml:space="preserve">        (II)         </w:t>
      </w:r>
      <w:proofErr w:type="gramStart"/>
      <w:r w:rsidRPr="004250B9">
        <w:rPr>
          <w:lang w:eastAsia="en-AU"/>
        </w:rPr>
        <w:t>for</w:t>
      </w:r>
      <w:proofErr w:type="gramEnd"/>
      <w:r w:rsidRPr="004250B9">
        <w:rPr>
          <w:lang w:eastAsia="en-AU"/>
        </w:rPr>
        <w:t xml:space="preserve"> a subsequent offence, to a fine of $62 500. </w:t>
      </w:r>
    </w:p>
    <w:p w:rsidR="004250B9" w:rsidRPr="004250B9" w:rsidRDefault="004250B9" w:rsidP="004250B9">
      <w:pPr>
        <w:pStyle w:val="NoSpacing"/>
        <w:rPr>
          <w:lang w:eastAsia="en-AU"/>
        </w:rPr>
      </w:pPr>
    </w:p>
    <w:p w:rsidR="004250B9" w:rsidRPr="004250B9" w:rsidRDefault="004250B9" w:rsidP="004250B9">
      <w:pPr>
        <w:pStyle w:val="NoSpacing"/>
        <w:rPr>
          <w:lang w:eastAsia="en-AU"/>
        </w:rPr>
      </w:pPr>
      <w:r w:rsidRPr="004250B9">
        <w:rPr>
          <w:lang w:eastAsia="en-AU"/>
        </w:rPr>
        <w:t>        (2)         Where a person is liable to a level 2 penalty for an offence against this Act the person is liable — </w:t>
      </w:r>
    </w:p>
    <w:p w:rsidR="004250B9" w:rsidRPr="004250B9" w:rsidRDefault="004250B9" w:rsidP="004250B9">
      <w:pPr>
        <w:pStyle w:val="NoSpacing"/>
        <w:rPr>
          <w:lang w:eastAsia="en-AU"/>
        </w:rPr>
      </w:pPr>
      <w:r w:rsidRPr="004250B9">
        <w:rPr>
          <w:lang w:eastAsia="en-AU"/>
        </w:rPr>
        <w:t xml:space="preserve">            (a)         </w:t>
      </w:r>
      <w:proofErr w:type="gramStart"/>
      <w:r w:rsidRPr="004250B9">
        <w:rPr>
          <w:lang w:eastAsia="en-AU"/>
        </w:rPr>
        <w:t>in</w:t>
      </w:r>
      <w:proofErr w:type="gramEnd"/>
      <w:r w:rsidRPr="004250B9">
        <w:rPr>
          <w:lang w:eastAsia="en-AU"/>
        </w:rPr>
        <w:t xml:space="preserve"> the case of an individual — </w:t>
      </w:r>
    </w:p>
    <w:p w:rsidR="004250B9" w:rsidRPr="004250B9" w:rsidRDefault="004250B9" w:rsidP="004250B9">
      <w:pPr>
        <w:pStyle w:val="NoSpacing"/>
        <w:rPr>
          <w:lang w:eastAsia="en-AU"/>
        </w:rPr>
      </w:pPr>
      <w:r w:rsidRPr="004250B9">
        <w:rPr>
          <w:lang w:eastAsia="en-AU"/>
        </w:rPr>
        <w:t>                  (</w:t>
      </w:r>
      <w:proofErr w:type="spellStart"/>
      <w:r w:rsidRPr="004250B9">
        <w:rPr>
          <w:lang w:eastAsia="en-AU"/>
        </w:rPr>
        <w:t>i</w:t>
      </w:r>
      <w:proofErr w:type="spellEnd"/>
      <w:r w:rsidRPr="004250B9">
        <w:rPr>
          <w:lang w:eastAsia="en-AU"/>
        </w:rPr>
        <w:t xml:space="preserve">)         </w:t>
      </w:r>
      <w:proofErr w:type="gramStart"/>
      <w:r w:rsidRPr="004250B9">
        <w:rPr>
          <w:lang w:eastAsia="en-AU"/>
        </w:rPr>
        <w:t>for</w:t>
      </w:r>
      <w:proofErr w:type="gramEnd"/>
      <w:r w:rsidRPr="004250B9">
        <w:rPr>
          <w:lang w:eastAsia="en-AU"/>
        </w:rPr>
        <w:t xml:space="preserve"> a first offence, to a fine of $100 000; and </w:t>
      </w:r>
    </w:p>
    <w:p w:rsidR="004250B9" w:rsidRPr="004250B9" w:rsidRDefault="004250B9" w:rsidP="004250B9">
      <w:pPr>
        <w:pStyle w:val="NoSpacing"/>
        <w:rPr>
          <w:lang w:eastAsia="en-AU"/>
        </w:rPr>
      </w:pPr>
      <w:r w:rsidRPr="004250B9">
        <w:rPr>
          <w:lang w:eastAsia="en-AU"/>
        </w:rPr>
        <w:t xml:space="preserve">                  (ii)         </w:t>
      </w:r>
      <w:proofErr w:type="gramStart"/>
      <w:r w:rsidRPr="004250B9">
        <w:rPr>
          <w:lang w:eastAsia="en-AU"/>
        </w:rPr>
        <w:t>for</w:t>
      </w:r>
      <w:proofErr w:type="gramEnd"/>
      <w:r w:rsidRPr="004250B9">
        <w:rPr>
          <w:lang w:eastAsia="en-AU"/>
        </w:rPr>
        <w:t xml:space="preserve"> a subsequent offence, to a fine of $125 000; </w:t>
      </w:r>
    </w:p>
    <w:p w:rsidR="004250B9" w:rsidRPr="004250B9" w:rsidRDefault="004250B9" w:rsidP="004250B9">
      <w:pPr>
        <w:pStyle w:val="NoSpacing"/>
        <w:rPr>
          <w:lang w:eastAsia="en-AU"/>
        </w:rPr>
      </w:pPr>
      <w:r w:rsidRPr="004250B9">
        <w:rPr>
          <w:lang w:eastAsia="en-AU"/>
        </w:rPr>
        <w:t xml:space="preserve">                </w:t>
      </w:r>
      <w:proofErr w:type="gramStart"/>
      <w:r w:rsidRPr="004250B9">
        <w:rPr>
          <w:lang w:eastAsia="en-AU"/>
        </w:rPr>
        <w:t>or</w:t>
      </w:r>
      <w:proofErr w:type="gramEnd"/>
      <w:r w:rsidRPr="004250B9">
        <w:rPr>
          <w:lang w:eastAsia="en-AU"/>
        </w:rPr>
        <w:t> </w:t>
      </w:r>
    </w:p>
    <w:p w:rsidR="004250B9" w:rsidRPr="004250B9" w:rsidRDefault="004250B9" w:rsidP="004250B9">
      <w:pPr>
        <w:pStyle w:val="NoSpacing"/>
        <w:rPr>
          <w:lang w:eastAsia="en-AU"/>
        </w:rPr>
      </w:pPr>
      <w:r w:rsidRPr="004250B9">
        <w:rPr>
          <w:lang w:eastAsia="en-AU"/>
        </w:rPr>
        <w:t xml:space="preserve">            (b)         </w:t>
      </w:r>
      <w:proofErr w:type="gramStart"/>
      <w:r w:rsidRPr="004250B9">
        <w:rPr>
          <w:lang w:eastAsia="en-AU"/>
        </w:rPr>
        <w:t>in</w:t>
      </w:r>
      <w:proofErr w:type="gramEnd"/>
      <w:r w:rsidRPr="004250B9">
        <w:rPr>
          <w:lang w:eastAsia="en-AU"/>
        </w:rPr>
        <w:t xml:space="preserve"> the case of a body corporate — </w:t>
      </w:r>
    </w:p>
    <w:p w:rsidR="004250B9" w:rsidRPr="004250B9" w:rsidRDefault="004250B9" w:rsidP="004250B9">
      <w:pPr>
        <w:pStyle w:val="NoSpacing"/>
        <w:rPr>
          <w:lang w:eastAsia="en-AU"/>
        </w:rPr>
      </w:pPr>
      <w:r w:rsidRPr="004250B9">
        <w:rPr>
          <w:lang w:eastAsia="en-AU"/>
        </w:rPr>
        <w:t>                  (</w:t>
      </w:r>
      <w:proofErr w:type="spellStart"/>
      <w:r w:rsidRPr="004250B9">
        <w:rPr>
          <w:lang w:eastAsia="en-AU"/>
        </w:rPr>
        <w:t>i</w:t>
      </w:r>
      <w:proofErr w:type="spellEnd"/>
      <w:r w:rsidRPr="004250B9">
        <w:rPr>
          <w:lang w:eastAsia="en-AU"/>
        </w:rPr>
        <w:t xml:space="preserve">)         </w:t>
      </w:r>
      <w:proofErr w:type="gramStart"/>
      <w:r w:rsidRPr="004250B9">
        <w:rPr>
          <w:lang w:eastAsia="en-AU"/>
        </w:rPr>
        <w:t>for</w:t>
      </w:r>
      <w:proofErr w:type="gramEnd"/>
      <w:r w:rsidRPr="004250B9">
        <w:rPr>
          <w:lang w:eastAsia="en-AU"/>
        </w:rPr>
        <w:t xml:space="preserve"> a first offence, to a fine of $200 000; and </w:t>
      </w:r>
    </w:p>
    <w:p w:rsidR="004250B9" w:rsidRDefault="004250B9" w:rsidP="004250B9">
      <w:pPr>
        <w:pStyle w:val="NoSpacing"/>
        <w:rPr>
          <w:lang w:eastAsia="en-AU"/>
        </w:rPr>
      </w:pPr>
      <w:r w:rsidRPr="004250B9">
        <w:rPr>
          <w:lang w:eastAsia="en-AU"/>
        </w:rPr>
        <w:t xml:space="preserve">                  (ii)         </w:t>
      </w:r>
      <w:proofErr w:type="gramStart"/>
      <w:r w:rsidRPr="004250B9">
        <w:rPr>
          <w:lang w:eastAsia="en-AU"/>
        </w:rPr>
        <w:t>for</w:t>
      </w:r>
      <w:proofErr w:type="gramEnd"/>
      <w:r w:rsidRPr="004250B9">
        <w:rPr>
          <w:lang w:eastAsia="en-AU"/>
        </w:rPr>
        <w:t xml:space="preserve"> a subsequent offence, to a fine of $250 000. </w:t>
      </w:r>
    </w:p>
    <w:p w:rsidR="004250B9" w:rsidRPr="004250B9" w:rsidRDefault="004250B9" w:rsidP="004250B9">
      <w:pPr>
        <w:pStyle w:val="NoSpacing"/>
        <w:rPr>
          <w:lang w:eastAsia="en-AU"/>
        </w:rPr>
      </w:pPr>
    </w:p>
    <w:p w:rsidR="004250B9" w:rsidRPr="004250B9" w:rsidRDefault="004250B9" w:rsidP="004250B9">
      <w:pPr>
        <w:pStyle w:val="NoSpacing"/>
        <w:rPr>
          <w:lang w:eastAsia="en-AU"/>
        </w:rPr>
      </w:pPr>
      <w:r w:rsidRPr="004250B9">
        <w:rPr>
          <w:lang w:eastAsia="en-AU"/>
        </w:rPr>
        <w:t>        (3)         Where a person is liable to a level 3 penalty for an offence against this Act the person is liable — </w:t>
      </w:r>
    </w:p>
    <w:p w:rsidR="004250B9" w:rsidRPr="004250B9" w:rsidRDefault="004250B9" w:rsidP="004250B9">
      <w:pPr>
        <w:pStyle w:val="NoSpacing"/>
        <w:rPr>
          <w:lang w:eastAsia="en-AU"/>
        </w:rPr>
      </w:pPr>
      <w:r w:rsidRPr="004250B9">
        <w:rPr>
          <w:lang w:eastAsia="en-AU"/>
        </w:rPr>
        <w:t xml:space="preserve">            (a)         </w:t>
      </w:r>
      <w:proofErr w:type="gramStart"/>
      <w:r w:rsidRPr="004250B9">
        <w:rPr>
          <w:lang w:eastAsia="en-AU"/>
        </w:rPr>
        <w:t>in</w:t>
      </w:r>
      <w:proofErr w:type="gramEnd"/>
      <w:r w:rsidRPr="004250B9">
        <w:rPr>
          <w:lang w:eastAsia="en-AU"/>
        </w:rPr>
        <w:t xml:space="preserve"> the case of an individual — </w:t>
      </w:r>
    </w:p>
    <w:p w:rsidR="004250B9" w:rsidRPr="004250B9" w:rsidRDefault="004250B9" w:rsidP="004250B9">
      <w:pPr>
        <w:pStyle w:val="NoSpacing"/>
        <w:rPr>
          <w:lang w:eastAsia="en-AU"/>
        </w:rPr>
      </w:pPr>
      <w:r w:rsidRPr="004250B9">
        <w:rPr>
          <w:lang w:eastAsia="en-AU"/>
        </w:rPr>
        <w:t>                  (</w:t>
      </w:r>
      <w:proofErr w:type="spellStart"/>
      <w:r w:rsidRPr="004250B9">
        <w:rPr>
          <w:lang w:eastAsia="en-AU"/>
        </w:rPr>
        <w:t>i</w:t>
      </w:r>
      <w:proofErr w:type="spellEnd"/>
      <w:r w:rsidRPr="004250B9">
        <w:rPr>
          <w:lang w:eastAsia="en-AU"/>
        </w:rPr>
        <w:t xml:space="preserve">)         </w:t>
      </w:r>
      <w:proofErr w:type="gramStart"/>
      <w:r w:rsidRPr="004250B9">
        <w:rPr>
          <w:lang w:eastAsia="en-AU"/>
        </w:rPr>
        <w:t>for</w:t>
      </w:r>
      <w:proofErr w:type="gramEnd"/>
      <w:r w:rsidRPr="004250B9">
        <w:rPr>
          <w:lang w:eastAsia="en-AU"/>
        </w:rPr>
        <w:t xml:space="preserve"> a first offence, to a fine of $200 000; and </w:t>
      </w:r>
    </w:p>
    <w:p w:rsidR="004250B9" w:rsidRPr="004250B9" w:rsidRDefault="004250B9" w:rsidP="004250B9">
      <w:pPr>
        <w:pStyle w:val="NoSpacing"/>
        <w:rPr>
          <w:lang w:eastAsia="en-AU"/>
        </w:rPr>
      </w:pPr>
      <w:r w:rsidRPr="004250B9">
        <w:rPr>
          <w:lang w:eastAsia="en-AU"/>
        </w:rPr>
        <w:t xml:space="preserve">                  (ii)         </w:t>
      </w:r>
      <w:proofErr w:type="gramStart"/>
      <w:r w:rsidRPr="004250B9">
        <w:rPr>
          <w:lang w:eastAsia="en-AU"/>
        </w:rPr>
        <w:t>for</w:t>
      </w:r>
      <w:proofErr w:type="gramEnd"/>
      <w:r w:rsidRPr="004250B9">
        <w:rPr>
          <w:lang w:eastAsia="en-AU"/>
        </w:rPr>
        <w:t xml:space="preserve"> a subsequent offence, to a fine of $250 000; </w:t>
      </w:r>
    </w:p>
    <w:p w:rsidR="004250B9" w:rsidRPr="004250B9" w:rsidRDefault="004250B9" w:rsidP="004250B9">
      <w:pPr>
        <w:pStyle w:val="NoSpacing"/>
        <w:rPr>
          <w:lang w:eastAsia="en-AU"/>
        </w:rPr>
      </w:pPr>
      <w:r w:rsidRPr="004250B9">
        <w:rPr>
          <w:lang w:eastAsia="en-AU"/>
        </w:rPr>
        <w:t xml:space="preserve">                </w:t>
      </w:r>
      <w:proofErr w:type="gramStart"/>
      <w:r w:rsidRPr="004250B9">
        <w:rPr>
          <w:lang w:eastAsia="en-AU"/>
        </w:rPr>
        <w:t>or</w:t>
      </w:r>
      <w:proofErr w:type="gramEnd"/>
      <w:r w:rsidRPr="004250B9">
        <w:rPr>
          <w:lang w:eastAsia="en-AU"/>
        </w:rPr>
        <w:t> </w:t>
      </w:r>
    </w:p>
    <w:p w:rsidR="004250B9" w:rsidRPr="004250B9" w:rsidRDefault="004250B9" w:rsidP="004250B9">
      <w:pPr>
        <w:pStyle w:val="NoSpacing"/>
        <w:rPr>
          <w:lang w:eastAsia="en-AU"/>
        </w:rPr>
      </w:pPr>
      <w:r w:rsidRPr="004250B9">
        <w:rPr>
          <w:lang w:eastAsia="en-AU"/>
        </w:rPr>
        <w:t xml:space="preserve">            (b)         </w:t>
      </w:r>
      <w:proofErr w:type="gramStart"/>
      <w:r w:rsidRPr="004250B9">
        <w:rPr>
          <w:lang w:eastAsia="en-AU"/>
        </w:rPr>
        <w:t>in</w:t>
      </w:r>
      <w:proofErr w:type="gramEnd"/>
      <w:r w:rsidRPr="004250B9">
        <w:rPr>
          <w:lang w:eastAsia="en-AU"/>
        </w:rPr>
        <w:t xml:space="preserve"> the case of a body corporate — </w:t>
      </w:r>
    </w:p>
    <w:p w:rsidR="004250B9" w:rsidRPr="004250B9" w:rsidRDefault="004250B9" w:rsidP="004250B9">
      <w:pPr>
        <w:pStyle w:val="NoSpacing"/>
        <w:rPr>
          <w:lang w:eastAsia="en-AU"/>
        </w:rPr>
      </w:pPr>
      <w:r w:rsidRPr="004250B9">
        <w:rPr>
          <w:lang w:eastAsia="en-AU"/>
        </w:rPr>
        <w:t>                  (</w:t>
      </w:r>
      <w:proofErr w:type="spellStart"/>
      <w:r w:rsidRPr="004250B9">
        <w:rPr>
          <w:lang w:eastAsia="en-AU"/>
        </w:rPr>
        <w:t>i</w:t>
      </w:r>
      <w:proofErr w:type="spellEnd"/>
      <w:r w:rsidRPr="004250B9">
        <w:rPr>
          <w:lang w:eastAsia="en-AU"/>
        </w:rPr>
        <w:t xml:space="preserve">)         </w:t>
      </w:r>
      <w:proofErr w:type="gramStart"/>
      <w:r w:rsidRPr="004250B9">
        <w:rPr>
          <w:lang w:eastAsia="en-AU"/>
        </w:rPr>
        <w:t>for</w:t>
      </w:r>
      <w:proofErr w:type="gramEnd"/>
      <w:r w:rsidRPr="004250B9">
        <w:rPr>
          <w:lang w:eastAsia="en-AU"/>
        </w:rPr>
        <w:t xml:space="preserve"> a first offence, to a fine of $400 000; and </w:t>
      </w:r>
    </w:p>
    <w:p w:rsidR="004250B9" w:rsidRDefault="004250B9" w:rsidP="004250B9">
      <w:pPr>
        <w:pStyle w:val="NoSpacing"/>
        <w:rPr>
          <w:lang w:eastAsia="en-AU"/>
        </w:rPr>
      </w:pPr>
      <w:r w:rsidRPr="004250B9">
        <w:rPr>
          <w:lang w:eastAsia="en-AU"/>
        </w:rPr>
        <w:t xml:space="preserve">                  (ii)         </w:t>
      </w:r>
      <w:proofErr w:type="gramStart"/>
      <w:r w:rsidRPr="004250B9">
        <w:rPr>
          <w:lang w:eastAsia="en-AU"/>
        </w:rPr>
        <w:t>for</w:t>
      </w:r>
      <w:proofErr w:type="gramEnd"/>
      <w:r w:rsidRPr="004250B9">
        <w:rPr>
          <w:lang w:eastAsia="en-AU"/>
        </w:rPr>
        <w:t xml:space="preserve"> a subsequent offence, to a fine of $500 000. </w:t>
      </w:r>
    </w:p>
    <w:p w:rsidR="004250B9" w:rsidRPr="004250B9" w:rsidRDefault="004250B9" w:rsidP="004250B9">
      <w:pPr>
        <w:pStyle w:val="NoSpacing"/>
        <w:rPr>
          <w:lang w:eastAsia="en-AU"/>
        </w:rPr>
      </w:pPr>
    </w:p>
    <w:p w:rsidR="004250B9" w:rsidRPr="004250B9" w:rsidRDefault="004250B9" w:rsidP="004250B9">
      <w:pPr>
        <w:pStyle w:val="NoSpacing"/>
        <w:rPr>
          <w:lang w:eastAsia="en-AU"/>
        </w:rPr>
      </w:pPr>
      <w:r w:rsidRPr="004250B9">
        <w:rPr>
          <w:lang w:eastAsia="en-AU"/>
        </w:rPr>
        <w:t>        (4)         Where a person is liable to a level 4 penalty for an offence against this Act the person is liable — </w:t>
      </w:r>
    </w:p>
    <w:p w:rsidR="004250B9" w:rsidRPr="004250B9" w:rsidRDefault="004250B9" w:rsidP="004250B9">
      <w:pPr>
        <w:pStyle w:val="NoSpacing"/>
        <w:rPr>
          <w:lang w:eastAsia="en-AU"/>
        </w:rPr>
      </w:pPr>
      <w:r w:rsidRPr="004250B9">
        <w:rPr>
          <w:lang w:eastAsia="en-AU"/>
        </w:rPr>
        <w:t xml:space="preserve">            (a)         </w:t>
      </w:r>
      <w:proofErr w:type="gramStart"/>
      <w:r w:rsidRPr="004250B9">
        <w:rPr>
          <w:lang w:eastAsia="en-AU"/>
        </w:rPr>
        <w:t>in</w:t>
      </w:r>
      <w:proofErr w:type="gramEnd"/>
      <w:r w:rsidRPr="004250B9">
        <w:rPr>
          <w:lang w:eastAsia="en-AU"/>
        </w:rPr>
        <w:t xml:space="preserve"> the case of an individual — </w:t>
      </w:r>
    </w:p>
    <w:p w:rsidR="004250B9" w:rsidRPr="004250B9" w:rsidRDefault="004250B9" w:rsidP="004250B9">
      <w:pPr>
        <w:pStyle w:val="NoSpacing"/>
        <w:rPr>
          <w:lang w:eastAsia="en-AU"/>
        </w:rPr>
      </w:pPr>
      <w:r w:rsidRPr="004250B9">
        <w:rPr>
          <w:lang w:eastAsia="en-AU"/>
        </w:rPr>
        <w:t>                  (</w:t>
      </w:r>
      <w:proofErr w:type="spellStart"/>
      <w:r w:rsidRPr="004250B9">
        <w:rPr>
          <w:lang w:eastAsia="en-AU"/>
        </w:rPr>
        <w:t>i</w:t>
      </w:r>
      <w:proofErr w:type="spellEnd"/>
      <w:r w:rsidRPr="004250B9">
        <w:rPr>
          <w:lang w:eastAsia="en-AU"/>
        </w:rPr>
        <w:t xml:space="preserve">)         </w:t>
      </w:r>
      <w:proofErr w:type="gramStart"/>
      <w:r w:rsidRPr="004250B9">
        <w:rPr>
          <w:lang w:eastAsia="en-AU"/>
        </w:rPr>
        <w:t>for</w:t>
      </w:r>
      <w:proofErr w:type="gramEnd"/>
      <w:r w:rsidRPr="004250B9">
        <w:rPr>
          <w:lang w:eastAsia="en-AU"/>
        </w:rPr>
        <w:t xml:space="preserve"> a first offence, to a fine of $250 000 and imprisonment for 2 years; and </w:t>
      </w:r>
    </w:p>
    <w:p w:rsidR="004250B9" w:rsidRPr="004250B9" w:rsidRDefault="004250B9" w:rsidP="004250B9">
      <w:pPr>
        <w:pStyle w:val="NoSpacing"/>
        <w:rPr>
          <w:lang w:eastAsia="en-AU"/>
        </w:rPr>
      </w:pPr>
      <w:r w:rsidRPr="004250B9">
        <w:rPr>
          <w:lang w:eastAsia="en-AU"/>
        </w:rPr>
        <w:t xml:space="preserve">                  (ii)         </w:t>
      </w:r>
      <w:proofErr w:type="gramStart"/>
      <w:r w:rsidRPr="004250B9">
        <w:rPr>
          <w:lang w:eastAsia="en-AU"/>
        </w:rPr>
        <w:t>for</w:t>
      </w:r>
      <w:proofErr w:type="gramEnd"/>
      <w:r w:rsidRPr="004250B9">
        <w:rPr>
          <w:lang w:eastAsia="en-AU"/>
        </w:rPr>
        <w:t xml:space="preserve"> a subsequent offence, to a fine of $312 500 and imprisonment for 2 years; </w:t>
      </w:r>
    </w:p>
    <w:p w:rsidR="004250B9" w:rsidRPr="004250B9" w:rsidRDefault="004250B9" w:rsidP="004250B9">
      <w:pPr>
        <w:pStyle w:val="NoSpacing"/>
        <w:rPr>
          <w:lang w:eastAsia="en-AU"/>
        </w:rPr>
      </w:pPr>
      <w:r w:rsidRPr="004250B9">
        <w:rPr>
          <w:lang w:eastAsia="en-AU"/>
        </w:rPr>
        <w:t xml:space="preserve">                </w:t>
      </w:r>
      <w:proofErr w:type="gramStart"/>
      <w:r w:rsidRPr="004250B9">
        <w:rPr>
          <w:lang w:eastAsia="en-AU"/>
        </w:rPr>
        <w:t>or</w:t>
      </w:r>
      <w:proofErr w:type="gramEnd"/>
      <w:r w:rsidRPr="004250B9">
        <w:rPr>
          <w:lang w:eastAsia="en-AU"/>
        </w:rPr>
        <w:t> </w:t>
      </w:r>
    </w:p>
    <w:p w:rsidR="004250B9" w:rsidRPr="004250B9" w:rsidRDefault="004250B9" w:rsidP="004250B9">
      <w:pPr>
        <w:pStyle w:val="NoSpacing"/>
        <w:rPr>
          <w:lang w:eastAsia="en-AU"/>
        </w:rPr>
      </w:pPr>
      <w:r w:rsidRPr="004250B9">
        <w:rPr>
          <w:lang w:eastAsia="en-AU"/>
        </w:rPr>
        <w:t xml:space="preserve">            (b)         </w:t>
      </w:r>
      <w:proofErr w:type="gramStart"/>
      <w:r w:rsidRPr="004250B9">
        <w:rPr>
          <w:lang w:eastAsia="en-AU"/>
        </w:rPr>
        <w:t>in</w:t>
      </w:r>
      <w:proofErr w:type="gramEnd"/>
      <w:r w:rsidRPr="004250B9">
        <w:rPr>
          <w:lang w:eastAsia="en-AU"/>
        </w:rPr>
        <w:t xml:space="preserve"> the case of a body corporate — </w:t>
      </w:r>
    </w:p>
    <w:p w:rsidR="004250B9" w:rsidRPr="004250B9" w:rsidRDefault="004250B9" w:rsidP="004250B9">
      <w:pPr>
        <w:pStyle w:val="NoSpacing"/>
        <w:rPr>
          <w:lang w:eastAsia="en-AU"/>
        </w:rPr>
      </w:pPr>
      <w:r w:rsidRPr="004250B9">
        <w:rPr>
          <w:lang w:eastAsia="en-AU"/>
        </w:rPr>
        <w:t>                  (</w:t>
      </w:r>
      <w:proofErr w:type="spellStart"/>
      <w:r w:rsidRPr="004250B9">
        <w:rPr>
          <w:lang w:eastAsia="en-AU"/>
        </w:rPr>
        <w:t>i</w:t>
      </w:r>
      <w:proofErr w:type="spellEnd"/>
      <w:r w:rsidRPr="004250B9">
        <w:rPr>
          <w:lang w:eastAsia="en-AU"/>
        </w:rPr>
        <w:t xml:space="preserve">)         </w:t>
      </w:r>
      <w:proofErr w:type="gramStart"/>
      <w:r w:rsidRPr="004250B9">
        <w:rPr>
          <w:lang w:eastAsia="en-AU"/>
        </w:rPr>
        <w:t>for</w:t>
      </w:r>
      <w:proofErr w:type="gramEnd"/>
      <w:r w:rsidRPr="004250B9">
        <w:rPr>
          <w:lang w:eastAsia="en-AU"/>
        </w:rPr>
        <w:t xml:space="preserve"> a first offence, to a fine of $500 000; and </w:t>
      </w:r>
    </w:p>
    <w:p w:rsidR="004250B9" w:rsidRPr="004250B9" w:rsidRDefault="004250B9" w:rsidP="004250B9">
      <w:pPr>
        <w:pStyle w:val="NoSpacing"/>
        <w:rPr>
          <w:lang w:eastAsia="en-AU"/>
        </w:rPr>
      </w:pPr>
      <w:r w:rsidRPr="004250B9">
        <w:rPr>
          <w:lang w:eastAsia="en-AU"/>
        </w:rPr>
        <w:t xml:space="preserve">                  (ii)         </w:t>
      </w:r>
      <w:proofErr w:type="gramStart"/>
      <w:r w:rsidRPr="004250B9">
        <w:rPr>
          <w:lang w:eastAsia="en-AU"/>
        </w:rPr>
        <w:t>for</w:t>
      </w:r>
      <w:proofErr w:type="gramEnd"/>
      <w:r w:rsidRPr="004250B9">
        <w:rPr>
          <w:lang w:eastAsia="en-AU"/>
        </w:rPr>
        <w:t xml:space="preserve"> a subsequent offence, to a fine of $625 000. </w:t>
      </w:r>
    </w:p>
    <w:p w:rsidR="00796C59" w:rsidRDefault="00F01AC3" w:rsidP="004250B9">
      <w:pPr>
        <w:pStyle w:val="NoSpacing"/>
      </w:pPr>
    </w:p>
    <w:p w:rsidR="004250B9" w:rsidRDefault="004250B9" w:rsidP="004250B9">
      <w:pPr>
        <w:pStyle w:val="NoSpacing"/>
      </w:pPr>
    </w:p>
    <w:p w:rsidR="004250B9" w:rsidRDefault="004250B9" w:rsidP="004250B9">
      <w:pPr>
        <w:pStyle w:val="NoSpacing"/>
      </w:pPr>
    </w:p>
    <w:p w:rsidR="004250B9" w:rsidRDefault="004250B9" w:rsidP="004250B9">
      <w:pPr>
        <w:pStyle w:val="NoSpacing"/>
      </w:pPr>
    </w:p>
    <w:p w:rsidR="004250B9" w:rsidRDefault="004250B9" w:rsidP="004250B9">
      <w:pPr>
        <w:pStyle w:val="Heading1"/>
        <w:shd w:val="clear" w:color="auto" w:fill="FFFFFF"/>
        <w:spacing w:before="210" w:after="210"/>
        <w:rPr>
          <w:rFonts w:ascii="Verdana" w:hAnsi="Verdana"/>
          <w:color w:val="666666"/>
        </w:rPr>
      </w:pPr>
      <w:r>
        <w:rPr>
          <w:rFonts w:ascii="Verdana" w:hAnsi="Verdana"/>
          <w:color w:val="666666"/>
        </w:rPr>
        <w:lastRenderedPageBreak/>
        <w:t>McGowan Government to increase penalties for workplace safety offences</w:t>
      </w:r>
    </w:p>
    <w:p w:rsidR="004250B9" w:rsidRDefault="004250B9" w:rsidP="004250B9">
      <w:pPr>
        <w:shd w:val="clear" w:color="auto" w:fill="FFFFFF"/>
        <w:rPr>
          <w:rFonts w:ascii="Arial" w:hAnsi="Arial" w:cs="Arial"/>
          <w:color w:val="666666"/>
          <w:sz w:val="18"/>
          <w:szCs w:val="18"/>
        </w:rPr>
      </w:pPr>
      <w:r>
        <w:rPr>
          <w:rFonts w:ascii="Arial" w:hAnsi="Arial" w:cs="Arial"/>
          <w:color w:val="666666"/>
          <w:sz w:val="18"/>
          <w:szCs w:val="18"/>
        </w:rPr>
        <w:t>Sunday, 27 August 2017</w:t>
      </w:r>
    </w:p>
    <w:p w:rsidR="004250B9" w:rsidRDefault="004250B9" w:rsidP="004250B9">
      <w:pPr>
        <w:shd w:val="clear" w:color="auto" w:fill="FFFFFF"/>
        <w:rPr>
          <w:rFonts w:ascii="Arial" w:hAnsi="Arial" w:cs="Arial"/>
          <w:color w:val="666666"/>
          <w:sz w:val="18"/>
          <w:szCs w:val="18"/>
        </w:rPr>
      </w:pPr>
      <w:r>
        <w:rPr>
          <w:rFonts w:ascii="Arial" w:hAnsi="Arial" w:cs="Arial"/>
          <w:color w:val="666666"/>
          <w:sz w:val="18"/>
          <w:szCs w:val="18"/>
        </w:rPr>
        <w:t> </w:t>
      </w:r>
    </w:p>
    <w:p w:rsidR="004250B9" w:rsidRDefault="004250B9" w:rsidP="004250B9">
      <w:pPr>
        <w:numPr>
          <w:ilvl w:val="0"/>
          <w:numId w:val="1"/>
        </w:numPr>
        <w:shd w:val="clear" w:color="auto" w:fill="FFFFFF"/>
        <w:spacing w:after="0" w:line="240" w:lineRule="auto"/>
        <w:ind w:left="240" w:hanging="192"/>
        <w:rPr>
          <w:rFonts w:ascii="Arial" w:hAnsi="Arial" w:cs="Arial"/>
          <w:color w:val="666666"/>
        </w:rPr>
      </w:pPr>
      <w:r>
        <w:rPr>
          <w:rFonts w:ascii="Arial" w:hAnsi="Arial" w:cs="Arial"/>
          <w:color w:val="666666"/>
        </w:rPr>
        <w:t>Significant increase to penalties for businesses who commit safety offences</w:t>
      </w:r>
    </w:p>
    <w:p w:rsidR="004250B9" w:rsidRDefault="004250B9" w:rsidP="004250B9">
      <w:pPr>
        <w:numPr>
          <w:ilvl w:val="0"/>
          <w:numId w:val="1"/>
        </w:numPr>
        <w:shd w:val="clear" w:color="auto" w:fill="FFFFFF"/>
        <w:spacing w:after="0" w:line="240" w:lineRule="auto"/>
        <w:ind w:left="240" w:hanging="192"/>
        <w:rPr>
          <w:rFonts w:ascii="Arial" w:hAnsi="Arial" w:cs="Arial"/>
          <w:color w:val="666666"/>
        </w:rPr>
      </w:pPr>
      <w:r>
        <w:rPr>
          <w:rFonts w:ascii="Arial" w:hAnsi="Arial" w:cs="Arial"/>
          <w:color w:val="666666"/>
        </w:rPr>
        <w:t>Safety of WA workers a priority of the McGowan Government</w:t>
      </w:r>
    </w:p>
    <w:p w:rsidR="004250B9" w:rsidRDefault="004250B9" w:rsidP="004250B9">
      <w:pPr>
        <w:numPr>
          <w:ilvl w:val="0"/>
          <w:numId w:val="1"/>
        </w:numPr>
        <w:shd w:val="clear" w:color="auto" w:fill="FFFFFF"/>
        <w:spacing w:after="0" w:line="240" w:lineRule="auto"/>
        <w:ind w:left="240" w:hanging="192"/>
        <w:rPr>
          <w:rFonts w:ascii="Arial" w:hAnsi="Arial" w:cs="Arial"/>
          <w:color w:val="666666"/>
        </w:rPr>
      </w:pPr>
      <w:r>
        <w:rPr>
          <w:rFonts w:ascii="Arial" w:hAnsi="Arial" w:cs="Arial"/>
          <w:color w:val="666666"/>
        </w:rPr>
        <w:t>Penalties in the Occupational Health and Safety Act 1984 to be consistent with the model Work Health and Safety Act  </w:t>
      </w:r>
    </w:p>
    <w:p w:rsidR="004250B9" w:rsidRDefault="004250B9" w:rsidP="004250B9">
      <w:pPr>
        <w:pStyle w:val="NormalWeb"/>
        <w:shd w:val="clear" w:color="auto" w:fill="FFFFFF"/>
        <w:spacing w:before="0" w:beforeAutospacing="0" w:after="75" w:afterAutospacing="0"/>
        <w:rPr>
          <w:rFonts w:ascii="inherit" w:hAnsi="inherit" w:cs="Arial"/>
          <w:color w:val="666666"/>
          <w:sz w:val="22"/>
          <w:szCs w:val="22"/>
        </w:rPr>
      </w:pPr>
      <w:r>
        <w:rPr>
          <w:rFonts w:ascii="inherit" w:hAnsi="inherit" w:cs="Arial"/>
          <w:color w:val="666666"/>
          <w:sz w:val="22"/>
          <w:szCs w:val="22"/>
        </w:rPr>
        <w:t>The McGowan Government will increase penalties for workplace safety offences to bring Western Australia into line with other States and ensure penalties better reflect the importance of a safe workplace.</w:t>
      </w:r>
    </w:p>
    <w:p w:rsidR="004250B9" w:rsidRDefault="004250B9" w:rsidP="004250B9">
      <w:pPr>
        <w:pStyle w:val="NormalWeb"/>
        <w:shd w:val="clear" w:color="auto" w:fill="FFFFFF"/>
        <w:spacing w:before="0" w:beforeAutospacing="0" w:after="75" w:afterAutospacing="0"/>
        <w:rPr>
          <w:rFonts w:ascii="inherit" w:hAnsi="inherit" w:cs="Arial"/>
          <w:color w:val="666666"/>
          <w:sz w:val="22"/>
          <w:szCs w:val="22"/>
        </w:rPr>
      </w:pPr>
      <w:r>
        <w:rPr>
          <w:rFonts w:ascii="inherit" w:hAnsi="inherit" w:cs="Arial"/>
          <w:color w:val="666666"/>
          <w:sz w:val="22"/>
          <w:szCs w:val="22"/>
        </w:rPr>
        <w:t> </w:t>
      </w:r>
    </w:p>
    <w:p w:rsidR="004250B9" w:rsidRDefault="004250B9" w:rsidP="004250B9">
      <w:pPr>
        <w:pStyle w:val="NormalWeb"/>
        <w:shd w:val="clear" w:color="auto" w:fill="FFFFFF"/>
        <w:spacing w:before="0" w:beforeAutospacing="0" w:after="75" w:afterAutospacing="0"/>
        <w:rPr>
          <w:rFonts w:ascii="inherit" w:hAnsi="inherit" w:cs="Arial"/>
          <w:color w:val="666666"/>
          <w:sz w:val="22"/>
          <w:szCs w:val="22"/>
        </w:rPr>
      </w:pPr>
      <w:r>
        <w:rPr>
          <w:rFonts w:ascii="inherit" w:hAnsi="inherit" w:cs="Arial"/>
          <w:color w:val="666666"/>
          <w:sz w:val="22"/>
          <w:szCs w:val="22"/>
        </w:rPr>
        <w:t>The amendments will increase penalties for businesses which commit safety offences under the Occupational Health and Safety Act 1984 (OSH Act) for the first time since 2004.</w:t>
      </w:r>
    </w:p>
    <w:p w:rsidR="004250B9" w:rsidRDefault="004250B9" w:rsidP="004250B9">
      <w:pPr>
        <w:pStyle w:val="NormalWeb"/>
        <w:shd w:val="clear" w:color="auto" w:fill="FFFFFF"/>
        <w:spacing w:before="0" w:beforeAutospacing="0" w:after="75" w:afterAutospacing="0"/>
        <w:rPr>
          <w:rFonts w:ascii="inherit" w:hAnsi="inherit" w:cs="Arial"/>
          <w:color w:val="666666"/>
          <w:sz w:val="22"/>
          <w:szCs w:val="22"/>
        </w:rPr>
      </w:pPr>
      <w:r>
        <w:rPr>
          <w:rFonts w:ascii="inherit" w:hAnsi="inherit" w:cs="Arial"/>
          <w:color w:val="666666"/>
          <w:sz w:val="22"/>
          <w:szCs w:val="22"/>
        </w:rPr>
        <w:t> </w:t>
      </w:r>
    </w:p>
    <w:p w:rsidR="004250B9" w:rsidRDefault="004250B9" w:rsidP="004250B9">
      <w:pPr>
        <w:pStyle w:val="NormalWeb"/>
        <w:shd w:val="clear" w:color="auto" w:fill="FFFFFF"/>
        <w:spacing w:before="0" w:beforeAutospacing="0" w:after="75" w:afterAutospacing="0"/>
        <w:rPr>
          <w:rFonts w:ascii="inherit" w:hAnsi="inherit" w:cs="Arial"/>
          <w:color w:val="666666"/>
          <w:sz w:val="22"/>
          <w:szCs w:val="22"/>
        </w:rPr>
      </w:pPr>
      <w:r>
        <w:rPr>
          <w:rFonts w:ascii="inherit" w:hAnsi="inherit" w:cs="Arial"/>
          <w:color w:val="666666"/>
          <w:sz w:val="22"/>
          <w:szCs w:val="22"/>
        </w:rPr>
        <w:t>The new penalties will be consistent with the national model Work Health and Safety Act (Model Act), with a further increase for inflation (1.14 per cent) from 2010.</w:t>
      </w:r>
    </w:p>
    <w:p w:rsidR="004250B9" w:rsidRDefault="004250B9" w:rsidP="004250B9">
      <w:pPr>
        <w:pStyle w:val="NormalWeb"/>
        <w:shd w:val="clear" w:color="auto" w:fill="FFFFFF"/>
        <w:spacing w:before="0" w:beforeAutospacing="0" w:after="75" w:afterAutospacing="0"/>
        <w:rPr>
          <w:rFonts w:ascii="inherit" w:hAnsi="inherit" w:cs="Arial"/>
          <w:color w:val="666666"/>
          <w:sz w:val="22"/>
          <w:szCs w:val="22"/>
        </w:rPr>
      </w:pPr>
      <w:r>
        <w:rPr>
          <w:rFonts w:ascii="inherit" w:hAnsi="inherit" w:cs="Arial"/>
          <w:color w:val="666666"/>
          <w:sz w:val="22"/>
          <w:szCs w:val="22"/>
        </w:rPr>
        <w:t> </w:t>
      </w:r>
    </w:p>
    <w:p w:rsidR="004250B9" w:rsidRDefault="004250B9" w:rsidP="004250B9">
      <w:pPr>
        <w:pStyle w:val="NormalWeb"/>
        <w:shd w:val="clear" w:color="auto" w:fill="FFFFFF"/>
        <w:spacing w:before="0" w:beforeAutospacing="0" w:after="75" w:afterAutospacing="0"/>
        <w:rPr>
          <w:rFonts w:ascii="inherit" w:hAnsi="inherit" w:cs="Arial"/>
          <w:color w:val="666666"/>
          <w:sz w:val="22"/>
          <w:szCs w:val="22"/>
        </w:rPr>
      </w:pPr>
      <w:r>
        <w:rPr>
          <w:rFonts w:ascii="inherit" w:hAnsi="inherit" w:cs="Arial"/>
          <w:color w:val="666666"/>
          <w:sz w:val="22"/>
          <w:szCs w:val="22"/>
        </w:rPr>
        <w:t>Harsher penalties for offenders include increasing the maximum term of imprisonment from two to five years.</w:t>
      </w:r>
    </w:p>
    <w:p w:rsidR="004250B9" w:rsidRDefault="004250B9" w:rsidP="004250B9">
      <w:pPr>
        <w:pStyle w:val="NormalWeb"/>
        <w:shd w:val="clear" w:color="auto" w:fill="FFFFFF"/>
        <w:spacing w:before="0" w:beforeAutospacing="0" w:after="75" w:afterAutospacing="0"/>
        <w:rPr>
          <w:rFonts w:ascii="inherit" w:hAnsi="inherit" w:cs="Arial"/>
          <w:color w:val="666666"/>
          <w:sz w:val="22"/>
          <w:szCs w:val="22"/>
        </w:rPr>
      </w:pPr>
      <w:r>
        <w:rPr>
          <w:rFonts w:ascii="inherit" w:hAnsi="inherit" w:cs="Arial"/>
          <w:color w:val="666666"/>
          <w:sz w:val="22"/>
          <w:szCs w:val="22"/>
        </w:rPr>
        <w:t> </w:t>
      </w:r>
    </w:p>
    <w:p w:rsidR="004250B9" w:rsidRDefault="004250B9" w:rsidP="004250B9">
      <w:pPr>
        <w:pStyle w:val="NormalWeb"/>
        <w:shd w:val="clear" w:color="auto" w:fill="FFFFFF"/>
        <w:spacing w:before="0" w:beforeAutospacing="0" w:after="75" w:afterAutospacing="0"/>
        <w:rPr>
          <w:rFonts w:ascii="inherit" w:hAnsi="inherit" w:cs="Arial"/>
          <w:color w:val="666666"/>
          <w:sz w:val="22"/>
          <w:szCs w:val="22"/>
        </w:rPr>
      </w:pPr>
      <w:r>
        <w:rPr>
          <w:rFonts w:ascii="inherit" w:hAnsi="inherit" w:cs="Arial"/>
          <w:color w:val="666666"/>
          <w:sz w:val="22"/>
          <w:szCs w:val="22"/>
        </w:rPr>
        <w:t>First offence fines for body corporate offenders will also drastically increase, Level 4 first time offences will increase from $500,000 to more than $2.7 million.</w:t>
      </w:r>
    </w:p>
    <w:p w:rsidR="004250B9" w:rsidRDefault="004250B9" w:rsidP="004250B9">
      <w:pPr>
        <w:pStyle w:val="NormalWeb"/>
        <w:shd w:val="clear" w:color="auto" w:fill="FFFFFF"/>
        <w:spacing w:before="0" w:beforeAutospacing="0" w:after="75" w:afterAutospacing="0"/>
        <w:rPr>
          <w:rFonts w:ascii="inherit" w:hAnsi="inherit" w:cs="Arial"/>
          <w:color w:val="666666"/>
          <w:sz w:val="22"/>
          <w:szCs w:val="22"/>
        </w:rPr>
      </w:pPr>
      <w:r>
        <w:rPr>
          <w:rFonts w:ascii="inherit" w:hAnsi="inherit" w:cs="Arial"/>
          <w:color w:val="666666"/>
          <w:sz w:val="22"/>
          <w:szCs w:val="22"/>
        </w:rPr>
        <w:t> </w:t>
      </w:r>
    </w:p>
    <w:p w:rsidR="004250B9" w:rsidRDefault="004250B9" w:rsidP="004250B9">
      <w:pPr>
        <w:pStyle w:val="NormalWeb"/>
        <w:shd w:val="clear" w:color="auto" w:fill="FFFFFF"/>
        <w:spacing w:before="0" w:beforeAutospacing="0" w:after="75" w:afterAutospacing="0"/>
        <w:rPr>
          <w:rFonts w:ascii="inherit" w:hAnsi="inherit" w:cs="Arial"/>
          <w:color w:val="666666"/>
          <w:sz w:val="22"/>
          <w:szCs w:val="22"/>
        </w:rPr>
      </w:pPr>
      <w:r>
        <w:rPr>
          <w:rFonts w:ascii="inherit" w:hAnsi="inherit" w:cs="Arial"/>
          <w:color w:val="666666"/>
          <w:sz w:val="22"/>
          <w:szCs w:val="22"/>
        </w:rPr>
        <w:t>Level 1 penalties will increase from $50,000 to $456,000.</w:t>
      </w:r>
    </w:p>
    <w:p w:rsidR="004250B9" w:rsidRDefault="004250B9" w:rsidP="004250B9">
      <w:pPr>
        <w:pStyle w:val="NormalWeb"/>
        <w:shd w:val="clear" w:color="auto" w:fill="FFFFFF"/>
        <w:spacing w:before="0" w:beforeAutospacing="0" w:after="75" w:afterAutospacing="0"/>
        <w:rPr>
          <w:rFonts w:ascii="inherit" w:hAnsi="inherit" w:cs="Arial"/>
          <w:color w:val="666666"/>
          <w:sz w:val="22"/>
          <w:szCs w:val="22"/>
        </w:rPr>
      </w:pPr>
      <w:r>
        <w:rPr>
          <w:rFonts w:ascii="inherit" w:hAnsi="inherit" w:cs="Arial"/>
          <w:color w:val="666666"/>
          <w:sz w:val="22"/>
          <w:szCs w:val="22"/>
        </w:rPr>
        <w:t> </w:t>
      </w:r>
    </w:p>
    <w:p w:rsidR="004250B9" w:rsidRDefault="004250B9" w:rsidP="004250B9">
      <w:pPr>
        <w:pStyle w:val="NormalWeb"/>
        <w:shd w:val="clear" w:color="auto" w:fill="FFFFFF"/>
        <w:spacing w:before="0" w:beforeAutospacing="0" w:after="75" w:afterAutospacing="0"/>
        <w:rPr>
          <w:rFonts w:ascii="inherit" w:hAnsi="inherit" w:cs="Arial"/>
          <w:color w:val="666666"/>
          <w:sz w:val="22"/>
          <w:szCs w:val="22"/>
        </w:rPr>
      </w:pPr>
      <w:r>
        <w:rPr>
          <w:rFonts w:ascii="inherit" w:hAnsi="inherit" w:cs="Arial"/>
          <w:color w:val="666666"/>
          <w:sz w:val="22"/>
          <w:szCs w:val="22"/>
        </w:rPr>
        <w:t>With the exception of WA and Victoria, other Australian jurisdictions have adopted the Model Act and, as a result, penalty levels in WA's OSH Act are significantly less than those applying in many other jurisdictions.</w:t>
      </w:r>
    </w:p>
    <w:p w:rsidR="004250B9" w:rsidRDefault="004250B9" w:rsidP="004250B9">
      <w:pPr>
        <w:pStyle w:val="NoSpacing"/>
      </w:pPr>
    </w:p>
    <w:p w:rsidR="004250B9" w:rsidRDefault="004250B9" w:rsidP="004250B9">
      <w:pPr>
        <w:pStyle w:val="NoSpacing"/>
      </w:pPr>
    </w:p>
    <w:p w:rsidR="004250B9" w:rsidRDefault="004250B9" w:rsidP="004250B9">
      <w:pPr>
        <w:pStyle w:val="NoSpacing"/>
      </w:pPr>
    </w:p>
    <w:p w:rsidR="004250B9" w:rsidRDefault="004250B9" w:rsidP="004250B9">
      <w:pPr>
        <w:pStyle w:val="NoSpacing"/>
      </w:pPr>
    </w:p>
    <w:p w:rsidR="004250B9" w:rsidRDefault="004250B9" w:rsidP="004250B9">
      <w:pPr>
        <w:pStyle w:val="NoSpacing"/>
      </w:pPr>
    </w:p>
    <w:p w:rsidR="004250B9" w:rsidRDefault="004250B9" w:rsidP="004250B9">
      <w:pPr>
        <w:pStyle w:val="NoSpacing"/>
      </w:pPr>
    </w:p>
    <w:p w:rsidR="004250B9" w:rsidRDefault="004250B9" w:rsidP="004250B9">
      <w:pPr>
        <w:pStyle w:val="NoSpacing"/>
      </w:pPr>
    </w:p>
    <w:p w:rsidR="004250B9" w:rsidRDefault="004250B9" w:rsidP="004250B9">
      <w:pPr>
        <w:pStyle w:val="NoSpacing"/>
      </w:pPr>
    </w:p>
    <w:p w:rsidR="004250B9" w:rsidRDefault="004250B9" w:rsidP="004250B9">
      <w:pPr>
        <w:pStyle w:val="NoSpacing"/>
      </w:pPr>
    </w:p>
    <w:p w:rsidR="004250B9" w:rsidRDefault="004250B9" w:rsidP="004250B9">
      <w:pPr>
        <w:pStyle w:val="NoSpacing"/>
      </w:pPr>
    </w:p>
    <w:p w:rsidR="004250B9" w:rsidRDefault="004250B9" w:rsidP="004250B9">
      <w:pPr>
        <w:pStyle w:val="NoSpacing"/>
      </w:pPr>
    </w:p>
    <w:p w:rsidR="004250B9" w:rsidRDefault="004250B9" w:rsidP="004250B9">
      <w:pPr>
        <w:pStyle w:val="NoSpacing"/>
      </w:pPr>
    </w:p>
    <w:p w:rsidR="004250B9" w:rsidRDefault="004250B9" w:rsidP="004250B9">
      <w:pPr>
        <w:pStyle w:val="NoSpacing"/>
      </w:pPr>
    </w:p>
    <w:p w:rsidR="004250B9" w:rsidRDefault="004250B9" w:rsidP="004250B9">
      <w:pPr>
        <w:pStyle w:val="Heading1"/>
        <w:spacing w:before="0" w:after="450"/>
        <w:rPr>
          <w:color w:val="0C0C0C"/>
        </w:rPr>
      </w:pPr>
      <w:r>
        <w:rPr>
          <w:color w:val="0C0C0C"/>
        </w:rPr>
        <w:lastRenderedPageBreak/>
        <w:t>City of Armadale fined $47,000 over 2014 accident at Hopkinson Road Waste Disposal Site</w:t>
      </w:r>
    </w:p>
    <w:p w:rsidR="004250B9" w:rsidRPr="004250B9" w:rsidRDefault="004250B9" w:rsidP="004250B9">
      <w:pPr>
        <w:pStyle w:val="NormalWeb"/>
        <w:spacing w:before="0" w:beforeAutospacing="0" w:after="300" w:afterAutospacing="0"/>
      </w:pPr>
      <w:r w:rsidRPr="004250B9">
        <w:t>CITY of Armadale has been fined $47,000 after a man was seriously injured at the Hopkinson Road Waste Disposal Site in Hilbert.</w:t>
      </w:r>
    </w:p>
    <w:p w:rsidR="004250B9" w:rsidRPr="004250B9" w:rsidRDefault="004250B9" w:rsidP="004250B9">
      <w:pPr>
        <w:pStyle w:val="NormalWeb"/>
        <w:spacing w:before="0" w:beforeAutospacing="0" w:after="300" w:afterAutospacing="0"/>
      </w:pPr>
      <w:r w:rsidRPr="004250B9">
        <w:t>During a recent hearing at the Armadale Magistrates Court, the City pleaded guilty to failing to ensure the safety and health of a person who was not their employee and to a charge of failing to comply with a prohibition notice.</w:t>
      </w:r>
    </w:p>
    <w:p w:rsidR="004250B9" w:rsidRPr="004250B9" w:rsidRDefault="004250B9" w:rsidP="004250B9">
      <w:pPr>
        <w:pStyle w:val="NormalWeb"/>
        <w:spacing w:before="0" w:beforeAutospacing="0" w:after="300" w:afterAutospacing="0"/>
      </w:pPr>
      <w:r w:rsidRPr="004250B9">
        <w:t>They were fined $47,000 and told to pay costs of $5510.</w:t>
      </w:r>
    </w:p>
    <w:p w:rsidR="004250B9" w:rsidRPr="004250B9" w:rsidRDefault="004250B9" w:rsidP="004250B9">
      <w:pPr>
        <w:pStyle w:val="NormalWeb"/>
        <w:spacing w:before="0" w:beforeAutospacing="0" w:after="300" w:afterAutospacing="0"/>
      </w:pPr>
      <w:r w:rsidRPr="004250B9">
        <w:t>The fine came after a man visiting the landfill site in August 2014 was hit by a loader driven by a City of Armadale employee.</w:t>
      </w:r>
    </w:p>
    <w:p w:rsidR="004250B9" w:rsidRPr="004250B9" w:rsidRDefault="004250B9" w:rsidP="004250B9">
      <w:pPr>
        <w:pStyle w:val="NormalWeb"/>
        <w:spacing w:before="0" w:beforeAutospacing="0" w:after="300" w:afterAutospacing="0"/>
      </w:pPr>
      <w:r w:rsidRPr="004250B9">
        <w:t>The man suffered a number of serious injuries which have left him unable to work.</w:t>
      </w:r>
    </w:p>
    <w:p w:rsidR="004250B9" w:rsidRPr="004250B9" w:rsidRDefault="004250B9" w:rsidP="004250B9">
      <w:pPr>
        <w:pStyle w:val="NormalWeb"/>
        <w:spacing w:before="0" w:beforeAutospacing="0" w:after="300" w:afterAutospacing="0"/>
      </w:pPr>
      <w:r w:rsidRPr="004250B9">
        <w:t>The City’s former waste services division manager Robert George Druid-Sutton also pleaded guilty at the hearing and was fined $12,500, as well as costs of $4950.</w:t>
      </w:r>
    </w:p>
    <w:p w:rsidR="004250B9" w:rsidRPr="004250B9" w:rsidRDefault="004250B9" w:rsidP="004250B9">
      <w:pPr>
        <w:pStyle w:val="NormalWeb"/>
        <w:spacing w:before="0" w:beforeAutospacing="0" w:after="300" w:afterAutospacing="0"/>
      </w:pPr>
      <w:proofErr w:type="spellStart"/>
      <w:r w:rsidRPr="004250B9">
        <w:t>WorkSafe</w:t>
      </w:r>
      <w:proofErr w:type="spellEnd"/>
      <w:r w:rsidRPr="004250B9">
        <w:t xml:space="preserve"> WA commissioner Ian </w:t>
      </w:r>
      <w:proofErr w:type="spellStart"/>
      <w:r w:rsidRPr="004250B9">
        <w:t>Munns</w:t>
      </w:r>
      <w:proofErr w:type="spellEnd"/>
      <w:r w:rsidRPr="004250B9">
        <w:t xml:space="preserve"> said the City was given a prohibition notice the day after the incident to stop the use of loaders near members of the public, but CCTV footage captured workers at the landfill site continuing to use to the machinery.</w:t>
      </w:r>
    </w:p>
    <w:p w:rsidR="004250B9" w:rsidRPr="004250B9" w:rsidRDefault="004250B9" w:rsidP="004250B9">
      <w:pPr>
        <w:pStyle w:val="NormalWeb"/>
        <w:spacing w:before="0" w:beforeAutospacing="0" w:after="300" w:afterAutospacing="0"/>
      </w:pPr>
      <w:r w:rsidRPr="004250B9">
        <w:t>“The City of Armadale did not ensure that safe systems of work were in place for an area in which it allowed mobile plant and pedestrians to be present at the same time,” he said.</w:t>
      </w:r>
    </w:p>
    <w:p w:rsidR="004250B9" w:rsidRPr="004250B9" w:rsidRDefault="004250B9" w:rsidP="004250B9">
      <w:pPr>
        <w:pStyle w:val="NormalWeb"/>
        <w:spacing w:before="0" w:beforeAutospacing="0" w:after="300" w:afterAutospacing="0"/>
      </w:pPr>
      <w:r w:rsidRPr="004250B9">
        <w:t>“And even more worrying, the extremely dangerous practice continued through the receipt of Improvement Notices and even when the City was issued with a Prohibition Notice.</w:t>
      </w:r>
    </w:p>
    <w:p w:rsidR="004250B9" w:rsidRPr="004250B9" w:rsidRDefault="004250B9" w:rsidP="004250B9">
      <w:pPr>
        <w:pStyle w:val="NormalWeb"/>
        <w:spacing w:before="0" w:beforeAutospacing="0" w:after="300" w:afterAutospacing="0"/>
      </w:pPr>
      <w:r w:rsidRPr="004250B9">
        <w:t>“This is a good opportunity to remind employers that not only are they ultimately responsible for the safety and health of their employees and anyone else who is lawfully in workplaces, but that their senior managers must also accept a level of responsibility for safety and health in their areas.”</w:t>
      </w:r>
    </w:p>
    <w:p w:rsidR="004250B9" w:rsidRPr="004250B9" w:rsidRDefault="004250B9" w:rsidP="004250B9">
      <w:pPr>
        <w:pStyle w:val="NormalWeb"/>
        <w:spacing w:before="0" w:beforeAutospacing="0" w:after="300" w:afterAutospacing="0"/>
      </w:pPr>
      <w:r w:rsidRPr="004250B9">
        <w:t>Armadale chief executive Ray Tame said the City “sincerely regrets” that a member of the community was injured.</w:t>
      </w:r>
    </w:p>
    <w:p w:rsidR="004250B9" w:rsidRPr="004250B9" w:rsidRDefault="004250B9" w:rsidP="004250B9">
      <w:pPr>
        <w:pStyle w:val="NormalWeb"/>
        <w:spacing w:before="0" w:beforeAutospacing="0" w:after="300" w:afterAutospacing="0"/>
      </w:pPr>
      <w:r w:rsidRPr="004250B9">
        <w:t>“The City pled guilty at the earliest opportunity and acknowledged its corporate responsibility in this matter,” he said.</w:t>
      </w:r>
    </w:p>
    <w:p w:rsidR="004250B9" w:rsidRPr="004250B9" w:rsidRDefault="004250B9" w:rsidP="004250B9">
      <w:pPr>
        <w:pStyle w:val="NormalWeb"/>
        <w:spacing w:before="0" w:beforeAutospacing="0" w:after="300" w:afterAutospacing="0"/>
      </w:pPr>
      <w:r w:rsidRPr="004250B9">
        <w:t>“We have acted to remove the risks at this site and made significant changes to staff and procedures involved.”</w:t>
      </w:r>
    </w:p>
    <w:p w:rsidR="004250B9" w:rsidRDefault="004250B9" w:rsidP="004250B9">
      <w:pPr>
        <w:pStyle w:val="NoSpacing"/>
      </w:pPr>
    </w:p>
    <w:p w:rsidR="004250B9" w:rsidRDefault="004250B9" w:rsidP="004250B9">
      <w:pPr>
        <w:pStyle w:val="NoSpacing"/>
      </w:pPr>
    </w:p>
    <w:p w:rsidR="004250B9" w:rsidRDefault="004250B9" w:rsidP="004250B9">
      <w:pPr>
        <w:pStyle w:val="NoSpacing"/>
      </w:pPr>
    </w:p>
    <w:tbl>
      <w:tblPr>
        <w:tblW w:w="5000" w:type="pct"/>
        <w:tblCellMar>
          <w:left w:w="0" w:type="dxa"/>
          <w:right w:w="0" w:type="dxa"/>
        </w:tblCellMar>
        <w:tblLook w:val="04A0" w:firstRow="1" w:lastRow="0" w:firstColumn="1" w:lastColumn="0" w:noHBand="0" w:noVBand="1"/>
      </w:tblPr>
      <w:tblGrid>
        <w:gridCol w:w="2332"/>
        <w:gridCol w:w="6678"/>
      </w:tblGrid>
      <w:tr w:rsidR="00F01AC3" w:rsidRPr="00F01AC3" w:rsidTr="00F01AC3">
        <w:trPr>
          <w:trHeight w:val="600"/>
        </w:trPr>
        <w:tc>
          <w:tcPr>
            <w:tcW w:w="0" w:type="auto"/>
            <w:tcBorders>
              <w:top w:val="single" w:sz="6" w:space="0" w:color="C4C4C4"/>
              <w:left w:val="single" w:sz="6" w:space="0" w:color="C4C4C4"/>
              <w:bottom w:val="single" w:sz="6" w:space="0" w:color="C4C4C4"/>
              <w:right w:val="single" w:sz="6" w:space="0" w:color="C4C4C4"/>
            </w:tcBorders>
            <w:tcMar>
              <w:top w:w="60" w:type="dxa"/>
              <w:left w:w="150" w:type="dxa"/>
              <w:bottom w:w="60" w:type="dxa"/>
              <w:right w:w="150" w:type="dxa"/>
            </w:tcMar>
            <w:hideMark/>
          </w:tcPr>
          <w:p w:rsidR="00F01AC3" w:rsidRPr="00F01AC3" w:rsidRDefault="00F01AC3">
            <w:r w:rsidRPr="00F01AC3">
              <w:lastRenderedPageBreak/>
              <w:t>Offender</w:t>
            </w:r>
          </w:p>
        </w:tc>
        <w:tc>
          <w:tcPr>
            <w:tcW w:w="0" w:type="auto"/>
            <w:tcBorders>
              <w:top w:val="single" w:sz="6" w:space="0" w:color="C4C4C4"/>
              <w:left w:val="single" w:sz="6" w:space="0" w:color="C4C4C4"/>
              <w:bottom w:val="single" w:sz="6" w:space="0" w:color="C4C4C4"/>
              <w:right w:val="single" w:sz="6" w:space="0" w:color="C4C4C4"/>
            </w:tcBorders>
            <w:tcMar>
              <w:top w:w="60" w:type="dxa"/>
              <w:left w:w="150" w:type="dxa"/>
              <w:bottom w:w="60" w:type="dxa"/>
              <w:right w:w="150" w:type="dxa"/>
            </w:tcMar>
            <w:vAlign w:val="center"/>
            <w:hideMark/>
          </w:tcPr>
          <w:p w:rsidR="00F01AC3" w:rsidRPr="00F01AC3" w:rsidRDefault="00F01AC3">
            <w:r w:rsidRPr="00F01AC3">
              <w:t>HVLV Pty Ltd (ACN 140 720 654)</w:t>
            </w:r>
          </w:p>
        </w:tc>
      </w:tr>
    </w:tbl>
    <w:p w:rsidR="00F01AC3" w:rsidRPr="00F01AC3" w:rsidRDefault="00F01AC3" w:rsidP="00F01AC3">
      <w:pPr>
        <w:pStyle w:val="Heading2"/>
      </w:pPr>
      <w:r w:rsidRPr="00F01AC3">
        <w:t>Charges</w:t>
      </w:r>
    </w:p>
    <w:tbl>
      <w:tblPr>
        <w:tblW w:w="8492" w:type="dxa"/>
        <w:tblCellMar>
          <w:left w:w="0" w:type="dxa"/>
          <w:right w:w="0" w:type="dxa"/>
        </w:tblCellMar>
        <w:tblLook w:val="04A0" w:firstRow="1" w:lastRow="0" w:firstColumn="1" w:lastColumn="0" w:noHBand="0" w:noVBand="1"/>
      </w:tblPr>
      <w:tblGrid>
        <w:gridCol w:w="1567"/>
        <w:gridCol w:w="6925"/>
      </w:tblGrid>
      <w:tr w:rsidR="00F01AC3" w:rsidRPr="00F01AC3" w:rsidTr="00F01AC3">
        <w:trPr>
          <w:trHeight w:val="600"/>
        </w:trPr>
        <w:tc>
          <w:tcPr>
            <w:tcW w:w="0" w:type="auto"/>
            <w:tcBorders>
              <w:top w:val="single" w:sz="6" w:space="0" w:color="C4C4C4"/>
              <w:left w:val="single" w:sz="6" w:space="0" w:color="C4C4C4"/>
              <w:bottom w:val="single" w:sz="6" w:space="0" w:color="C4C4C4"/>
              <w:right w:val="single" w:sz="6" w:space="0" w:color="C4C4C4"/>
            </w:tcBorders>
            <w:tcMar>
              <w:top w:w="60" w:type="dxa"/>
              <w:left w:w="150" w:type="dxa"/>
              <w:bottom w:w="60" w:type="dxa"/>
              <w:right w:w="150" w:type="dxa"/>
            </w:tcMar>
            <w:hideMark/>
          </w:tcPr>
          <w:p w:rsidR="00F01AC3" w:rsidRPr="00F01AC3" w:rsidRDefault="00F01AC3">
            <w:pPr>
              <w:spacing w:after="0" w:line="240" w:lineRule="auto"/>
            </w:pPr>
            <w:r w:rsidRPr="00F01AC3">
              <w:t>Description of Breach(</w:t>
            </w:r>
            <w:proofErr w:type="spellStart"/>
            <w:r w:rsidRPr="00F01AC3">
              <w:t>es</w:t>
            </w:r>
            <w:proofErr w:type="spellEnd"/>
            <w:r w:rsidRPr="00F01AC3">
              <w:t>)</w:t>
            </w:r>
          </w:p>
        </w:tc>
        <w:tc>
          <w:tcPr>
            <w:tcW w:w="0" w:type="auto"/>
            <w:tcBorders>
              <w:top w:val="single" w:sz="6" w:space="0" w:color="C4C4C4"/>
              <w:left w:val="single" w:sz="6" w:space="0" w:color="C4C4C4"/>
              <w:bottom w:val="single" w:sz="6" w:space="0" w:color="C4C4C4"/>
              <w:right w:val="single" w:sz="6" w:space="0" w:color="C4C4C4"/>
            </w:tcBorders>
            <w:tcMar>
              <w:top w:w="60" w:type="dxa"/>
              <w:left w:w="150" w:type="dxa"/>
              <w:bottom w:w="60" w:type="dxa"/>
              <w:right w:w="150" w:type="dxa"/>
            </w:tcMar>
            <w:vAlign w:val="center"/>
            <w:hideMark/>
          </w:tcPr>
          <w:p w:rsidR="00F01AC3" w:rsidRPr="00F01AC3" w:rsidRDefault="00F01AC3">
            <w:pPr>
              <w:pStyle w:val="NormalWeb"/>
              <w:spacing w:before="0" w:beforeAutospacing="0" w:after="0" w:afterAutospacing="0" w:line="372" w:lineRule="atLeast"/>
            </w:pPr>
            <w:r w:rsidRPr="00F01AC3">
              <w:t>Being an employer, failed so far as was practicable to provide and maintain a working environment in which its employees were not exposed to hazards and by that contravention caused serious harm to an employee contrary to sections 19(1) and 19(2) of the Occupational Safety and Health Act 1984.</w:t>
            </w:r>
          </w:p>
        </w:tc>
      </w:tr>
      <w:tr w:rsidR="00F01AC3" w:rsidRPr="00F01AC3" w:rsidTr="00F01AC3">
        <w:trPr>
          <w:trHeight w:val="600"/>
        </w:trPr>
        <w:tc>
          <w:tcPr>
            <w:tcW w:w="0" w:type="auto"/>
            <w:tcBorders>
              <w:top w:val="nil"/>
              <w:left w:val="single" w:sz="6" w:space="0" w:color="C4C4C4"/>
              <w:bottom w:val="single" w:sz="6" w:space="0" w:color="C4C4C4"/>
              <w:right w:val="single" w:sz="6" w:space="0" w:color="C4C4C4"/>
            </w:tcBorders>
            <w:shd w:val="clear" w:color="auto" w:fill="auto"/>
            <w:tcMar>
              <w:top w:w="60" w:type="dxa"/>
              <w:left w:w="150" w:type="dxa"/>
              <w:bottom w:w="60" w:type="dxa"/>
              <w:right w:w="150" w:type="dxa"/>
            </w:tcMar>
            <w:hideMark/>
          </w:tcPr>
          <w:p w:rsidR="00F01AC3" w:rsidRPr="00F01AC3" w:rsidRDefault="00F01AC3">
            <w:r w:rsidRPr="00F01AC3">
              <w:t>Background Details</w:t>
            </w:r>
          </w:p>
        </w:tc>
        <w:tc>
          <w:tcPr>
            <w:tcW w:w="0" w:type="auto"/>
            <w:tcBorders>
              <w:top w:val="nil"/>
              <w:left w:val="single" w:sz="6" w:space="0" w:color="C4C4C4"/>
              <w:bottom w:val="single" w:sz="6" w:space="0" w:color="C4C4C4"/>
              <w:right w:val="single" w:sz="6" w:space="0" w:color="C4C4C4"/>
            </w:tcBorders>
            <w:shd w:val="clear" w:color="auto" w:fill="auto"/>
            <w:tcMar>
              <w:top w:w="60" w:type="dxa"/>
              <w:left w:w="150" w:type="dxa"/>
              <w:bottom w:w="60" w:type="dxa"/>
              <w:right w:w="150" w:type="dxa"/>
            </w:tcMar>
            <w:vAlign w:val="center"/>
            <w:hideMark/>
          </w:tcPr>
          <w:p w:rsidR="00F01AC3" w:rsidRPr="00F01AC3" w:rsidRDefault="00F01AC3">
            <w:pPr>
              <w:pStyle w:val="NormalWeb"/>
              <w:spacing w:before="0" w:beforeAutospacing="0" w:after="0" w:afterAutospacing="0" w:line="372" w:lineRule="atLeast"/>
            </w:pPr>
            <w:r w:rsidRPr="00F01AC3">
              <w:t>HVLV Pty Ltd is a business designing and manufacturing electrical switchboards and switch rooms from premises located at 155 Lakes Road, Hazelmere WA 6055.</w:t>
            </w:r>
          </w:p>
          <w:p w:rsidR="00F01AC3" w:rsidRPr="00F01AC3" w:rsidRDefault="00F01AC3">
            <w:pPr>
              <w:pStyle w:val="NormalWeb"/>
              <w:spacing w:before="0" w:beforeAutospacing="0" w:after="0" w:afterAutospacing="0" w:line="372" w:lineRule="atLeast"/>
            </w:pPr>
            <w:r w:rsidRPr="00F01AC3">
              <w:t>Within the workshop on the premises, HVLV Pty Ltd carried out steel fabrication work for the electrical switch rooms.</w:t>
            </w:r>
          </w:p>
          <w:p w:rsidR="00F01AC3" w:rsidRPr="00F01AC3" w:rsidRDefault="00F01AC3">
            <w:pPr>
              <w:pStyle w:val="NormalWeb"/>
              <w:spacing w:before="0" w:beforeAutospacing="0" w:after="0" w:afterAutospacing="0" w:line="372" w:lineRule="atLeast"/>
            </w:pPr>
            <w:r w:rsidRPr="00F01AC3">
              <w:t>HVLV Pty Ltd operated an electric travelling overhead crane within their workshop to assist with the work.</w:t>
            </w:r>
          </w:p>
          <w:p w:rsidR="00F01AC3" w:rsidRPr="00F01AC3" w:rsidRDefault="00F01AC3">
            <w:pPr>
              <w:pStyle w:val="NormalWeb"/>
              <w:spacing w:before="0" w:beforeAutospacing="0" w:after="0" w:afterAutospacing="0" w:line="372" w:lineRule="atLeast"/>
            </w:pPr>
            <w:r w:rsidRPr="00F01AC3">
              <w:t> </w:t>
            </w:r>
          </w:p>
          <w:p w:rsidR="00F01AC3" w:rsidRPr="00F01AC3" w:rsidRDefault="00F01AC3">
            <w:pPr>
              <w:pStyle w:val="NormalWeb"/>
              <w:spacing w:before="0" w:beforeAutospacing="0" w:after="0" w:afterAutospacing="0" w:line="372" w:lineRule="atLeast"/>
            </w:pPr>
            <w:r w:rsidRPr="00F01AC3">
              <w:br/>
              <w:t>ACTIVITIES AT THE WORKPLACE ON 25 FEBRUARY 2013</w:t>
            </w:r>
            <w:r w:rsidRPr="00F01AC3">
              <w:br/>
              <w:t>On 25 February 2013, two employees of HVLV Pty Ltd were welding together a portal, which was used to make the framework for the electrical switch rooms manufactured by HVLV.</w:t>
            </w:r>
          </w:p>
          <w:p w:rsidR="00F01AC3" w:rsidRPr="00F01AC3" w:rsidRDefault="00F01AC3">
            <w:pPr>
              <w:pStyle w:val="NormalWeb"/>
              <w:spacing w:before="0" w:beforeAutospacing="0" w:after="0" w:afterAutospacing="0" w:line="372" w:lineRule="atLeast"/>
            </w:pPr>
            <w:r w:rsidRPr="00F01AC3">
              <w:t>At the same time in the workshop, a group of employees were conducting penetration tests on material used in the outer cladding of the switch rooms.</w:t>
            </w:r>
          </w:p>
          <w:p w:rsidR="00F01AC3" w:rsidRPr="00F01AC3" w:rsidRDefault="00F01AC3">
            <w:pPr>
              <w:pStyle w:val="NormalWeb"/>
              <w:spacing w:before="0" w:beforeAutospacing="0" w:after="0" w:afterAutospacing="0" w:line="372" w:lineRule="atLeast"/>
            </w:pPr>
            <w:r w:rsidRPr="00F01AC3">
              <w:t>To conduct the penetration test, a test weight (weighing 46 kilograms) was tied to the handrails of a scissor type elevated work platform (EWP), and the EWP was raised to a height of approximately 10 meters, where the test weight could be placed in a fabricated tube, which was affixed to the side of the workshop, and dropped onto the outer cladding.</w:t>
            </w:r>
          </w:p>
          <w:p w:rsidR="00F01AC3" w:rsidRPr="00F01AC3" w:rsidRDefault="00F01AC3">
            <w:pPr>
              <w:pStyle w:val="NormalWeb"/>
              <w:spacing w:before="0" w:beforeAutospacing="0" w:after="0" w:afterAutospacing="0" w:line="372" w:lineRule="atLeast"/>
            </w:pPr>
            <w:r w:rsidRPr="00F01AC3">
              <w:t>Due to the combined weight of the worker in the EWP and the test weight, the worker asked his supervisor if he could be assisted by someone with the testing in the scissor lift to act as a counter-balance.</w:t>
            </w:r>
          </w:p>
          <w:p w:rsidR="00F01AC3" w:rsidRPr="00F01AC3" w:rsidRDefault="00F01AC3">
            <w:pPr>
              <w:pStyle w:val="NormalWeb"/>
              <w:spacing w:before="0" w:beforeAutospacing="0" w:after="0" w:afterAutospacing="0" w:line="372" w:lineRule="atLeast"/>
            </w:pPr>
            <w:r w:rsidRPr="00F01AC3">
              <w:t> </w:t>
            </w:r>
          </w:p>
          <w:p w:rsidR="00F01AC3" w:rsidRPr="00F01AC3" w:rsidRDefault="00F01AC3">
            <w:pPr>
              <w:pStyle w:val="NormalWeb"/>
              <w:spacing w:before="0" w:beforeAutospacing="0" w:after="0" w:afterAutospacing="0" w:line="372" w:lineRule="atLeast"/>
            </w:pPr>
            <w:r w:rsidRPr="00F01AC3">
              <w:lastRenderedPageBreak/>
              <w:br/>
              <w:t>THE INCIDENT</w:t>
            </w:r>
            <w:r w:rsidRPr="00F01AC3">
              <w:br/>
              <w:t>At approximately 3:00pm, the employees working on the steel portal had completed their task and intended to move the steel portal to an area at the south end of the workshop where they were stacked.</w:t>
            </w:r>
          </w:p>
          <w:p w:rsidR="00F01AC3" w:rsidRPr="00F01AC3" w:rsidRDefault="00F01AC3">
            <w:pPr>
              <w:pStyle w:val="NormalWeb"/>
              <w:spacing w:before="0" w:beforeAutospacing="0" w:after="0" w:afterAutospacing="0" w:line="372" w:lineRule="atLeast"/>
            </w:pPr>
            <w:r w:rsidRPr="00F01AC3">
              <w:t>The employee operated the overhead travelling crane using a wireless remote control and his assisting co-worker was supporting the portal and keeping it steady. During this movement the overhead crane collided with the EWP the two workers were in and tipped it over.</w:t>
            </w:r>
          </w:p>
          <w:p w:rsidR="00F01AC3" w:rsidRPr="00F01AC3" w:rsidRDefault="00F01AC3">
            <w:pPr>
              <w:pStyle w:val="NormalWeb"/>
              <w:spacing w:before="0" w:beforeAutospacing="0" w:after="0" w:afterAutospacing="0" w:line="372" w:lineRule="atLeast"/>
            </w:pPr>
            <w:r w:rsidRPr="00F01AC3">
              <w:t xml:space="preserve">One worker rode in the EWP basket to the ground and the other worker managed to grab the crane as it passed overhead and was left hanging from it for a few seconds but then he </w:t>
            </w:r>
            <w:proofErr w:type="spellStart"/>
            <w:r w:rsidRPr="00F01AC3">
              <w:t>to</w:t>
            </w:r>
            <w:proofErr w:type="spellEnd"/>
            <w:r w:rsidRPr="00F01AC3">
              <w:t xml:space="preserve"> fell to the ground.</w:t>
            </w:r>
          </w:p>
          <w:p w:rsidR="00F01AC3" w:rsidRPr="00F01AC3" w:rsidRDefault="00F01AC3">
            <w:pPr>
              <w:pStyle w:val="NormalWeb"/>
              <w:spacing w:before="0" w:beforeAutospacing="0" w:after="0" w:afterAutospacing="0" w:line="372" w:lineRule="atLeast"/>
            </w:pPr>
            <w:r w:rsidRPr="00F01AC3">
              <w:t>The worker who rode the lift to the ground suffered numerous fracture injuries, including to his arm, shoulder, ribs and a punctured lung. The other worker who fell after briefly holding onto the crane suffered multiple injuries, including dislocation of his arm, leg and fractures to his arm, leg, foot, pelvis and lumbar spine.</w:t>
            </w:r>
          </w:p>
          <w:p w:rsidR="00F01AC3" w:rsidRPr="00F01AC3" w:rsidRDefault="00F01AC3">
            <w:pPr>
              <w:pStyle w:val="NormalWeb"/>
              <w:spacing w:before="0" w:beforeAutospacing="0" w:after="0" w:afterAutospacing="0" w:line="372" w:lineRule="atLeast"/>
            </w:pPr>
            <w:r w:rsidRPr="00F01AC3">
              <w:t> </w:t>
            </w:r>
          </w:p>
          <w:p w:rsidR="00F01AC3" w:rsidRPr="00F01AC3" w:rsidRDefault="00F01AC3">
            <w:pPr>
              <w:pStyle w:val="NormalWeb"/>
              <w:spacing w:before="0" w:beforeAutospacing="0" w:after="0" w:afterAutospacing="0" w:line="372" w:lineRule="atLeast"/>
            </w:pPr>
            <w:r w:rsidRPr="00F01AC3">
              <w:br/>
              <w:t>POST INCIDENT</w:t>
            </w:r>
            <w:r w:rsidRPr="00F01AC3">
              <w:br/>
              <w:t>When the director of HVLV Pty Ltd was interviewed following the incident he conceded that "with hindsight" a Job Safety Analysis or some form of hazard assessment should've been done in these circumstances.</w:t>
            </w:r>
          </w:p>
          <w:p w:rsidR="00F01AC3" w:rsidRPr="00F01AC3" w:rsidRDefault="00F01AC3">
            <w:pPr>
              <w:pStyle w:val="NormalWeb"/>
              <w:spacing w:before="0" w:beforeAutospacing="0" w:after="0" w:afterAutospacing="0" w:line="372" w:lineRule="atLeast"/>
            </w:pPr>
            <w:r w:rsidRPr="00F01AC3">
              <w:t>It was practicable for HVLV Pty Ltd to identify the hazards associated with having a EWP in an area of other mobile plant such as an overhead travelling crane and take measures to reduce or control the hazard, such as:</w:t>
            </w:r>
          </w:p>
          <w:p w:rsidR="00F01AC3" w:rsidRPr="00F01AC3" w:rsidRDefault="00F01AC3">
            <w:pPr>
              <w:pStyle w:val="NormalWeb"/>
              <w:spacing w:before="0" w:beforeAutospacing="0" w:after="0" w:afterAutospacing="0" w:line="372" w:lineRule="atLeast"/>
            </w:pPr>
            <w:r w:rsidRPr="00F01AC3">
              <w:t>a) Restrict the use of the overhead travelling crane while the EWP was used;</w:t>
            </w:r>
            <w:r w:rsidRPr="00F01AC3">
              <w:br/>
              <w:t>b) Notify and actively communicate with all staff working in and around the area of the EWP;</w:t>
            </w:r>
            <w:r w:rsidRPr="00F01AC3">
              <w:br/>
              <w:t>c) Isolate the area that the EWP was operating with bunting or use of a ground spotter.</w:t>
            </w:r>
          </w:p>
          <w:p w:rsidR="00F01AC3" w:rsidRPr="00F01AC3" w:rsidRDefault="00F01AC3">
            <w:pPr>
              <w:pStyle w:val="NormalWeb"/>
              <w:spacing w:before="0" w:beforeAutospacing="0" w:after="0" w:afterAutospacing="0" w:line="372" w:lineRule="atLeast"/>
            </w:pPr>
            <w:r w:rsidRPr="00F01AC3">
              <w:t> </w:t>
            </w:r>
          </w:p>
          <w:p w:rsidR="00F01AC3" w:rsidRPr="00F01AC3" w:rsidRDefault="00F01AC3">
            <w:r w:rsidRPr="00F01AC3">
              <w:lastRenderedPageBreak/>
              <w:br/>
            </w:r>
            <w:r w:rsidRPr="00F01AC3">
              <w:br/>
            </w:r>
          </w:p>
        </w:tc>
      </w:tr>
      <w:tr w:rsidR="00F01AC3" w:rsidRPr="00F01AC3" w:rsidTr="00F01AC3">
        <w:trPr>
          <w:trHeight w:val="600"/>
        </w:trPr>
        <w:tc>
          <w:tcPr>
            <w:tcW w:w="0" w:type="auto"/>
            <w:tcBorders>
              <w:top w:val="single" w:sz="6" w:space="0" w:color="C4C4C4"/>
              <w:left w:val="single" w:sz="6" w:space="0" w:color="C4C4C4"/>
              <w:bottom w:val="single" w:sz="6" w:space="0" w:color="C4C4C4"/>
              <w:right w:val="single" w:sz="6" w:space="0" w:color="C4C4C4"/>
            </w:tcBorders>
            <w:tcMar>
              <w:top w:w="60" w:type="dxa"/>
              <w:left w:w="150" w:type="dxa"/>
              <w:bottom w:w="60" w:type="dxa"/>
              <w:right w:w="150" w:type="dxa"/>
            </w:tcMar>
            <w:hideMark/>
          </w:tcPr>
          <w:p w:rsidR="00F01AC3" w:rsidRPr="00F01AC3" w:rsidRDefault="00F01AC3">
            <w:r w:rsidRPr="00F01AC3">
              <w:lastRenderedPageBreak/>
              <w:t>Outcome Summary</w:t>
            </w:r>
          </w:p>
        </w:tc>
        <w:tc>
          <w:tcPr>
            <w:tcW w:w="0" w:type="auto"/>
            <w:tcBorders>
              <w:top w:val="single" w:sz="6" w:space="0" w:color="C4C4C4"/>
              <w:left w:val="single" w:sz="6" w:space="0" w:color="C4C4C4"/>
              <w:bottom w:val="single" w:sz="6" w:space="0" w:color="C4C4C4"/>
              <w:right w:val="single" w:sz="6" w:space="0" w:color="C4C4C4"/>
            </w:tcBorders>
            <w:tcMar>
              <w:top w:w="60" w:type="dxa"/>
              <w:left w:w="150" w:type="dxa"/>
              <w:bottom w:w="60" w:type="dxa"/>
              <w:right w:w="150" w:type="dxa"/>
            </w:tcMar>
            <w:vAlign w:val="center"/>
            <w:hideMark/>
          </w:tcPr>
          <w:p w:rsidR="00F01AC3" w:rsidRPr="00F01AC3" w:rsidRDefault="00F01AC3">
            <w:pPr>
              <w:pStyle w:val="NormalWeb"/>
              <w:spacing w:before="0" w:beforeAutospacing="0" w:after="0" w:afterAutospacing="0" w:line="372" w:lineRule="atLeast"/>
            </w:pPr>
            <w:r w:rsidRPr="00F01AC3">
              <w:t>Found Guilty by the Magistrate. Fined $180,000.00 and ordered costs of $784.30.</w:t>
            </w:r>
          </w:p>
        </w:tc>
      </w:tr>
      <w:tr w:rsidR="00F01AC3" w:rsidRPr="00F01AC3" w:rsidTr="00F01AC3">
        <w:trPr>
          <w:trHeight w:val="600"/>
        </w:trPr>
        <w:tc>
          <w:tcPr>
            <w:tcW w:w="0" w:type="auto"/>
            <w:tcBorders>
              <w:top w:val="single" w:sz="6" w:space="0" w:color="C4C4C4"/>
              <w:left w:val="single" w:sz="6" w:space="0" w:color="C4C4C4"/>
              <w:bottom w:val="single" w:sz="6" w:space="0" w:color="C4C4C4"/>
              <w:right w:val="single" w:sz="6" w:space="0" w:color="C4C4C4"/>
            </w:tcBorders>
            <w:shd w:val="clear" w:color="auto" w:fill="auto"/>
            <w:tcMar>
              <w:top w:w="60" w:type="dxa"/>
              <w:left w:w="150" w:type="dxa"/>
              <w:bottom w:w="60" w:type="dxa"/>
              <w:right w:w="150" w:type="dxa"/>
            </w:tcMar>
            <w:hideMark/>
          </w:tcPr>
          <w:p w:rsidR="00F01AC3" w:rsidRPr="00F01AC3" w:rsidRDefault="00F01AC3">
            <w:r w:rsidRPr="00F01AC3">
              <w:t>Court</w:t>
            </w:r>
          </w:p>
        </w:tc>
        <w:tc>
          <w:tcPr>
            <w:tcW w:w="0" w:type="auto"/>
            <w:tcBorders>
              <w:top w:val="single" w:sz="6" w:space="0" w:color="C4C4C4"/>
              <w:left w:val="single" w:sz="6" w:space="0" w:color="C4C4C4"/>
              <w:bottom w:val="single" w:sz="6" w:space="0" w:color="C4C4C4"/>
              <w:right w:val="single" w:sz="6" w:space="0" w:color="C4C4C4"/>
            </w:tcBorders>
            <w:shd w:val="clear" w:color="auto" w:fill="auto"/>
            <w:tcMar>
              <w:top w:w="60" w:type="dxa"/>
              <w:left w:w="150" w:type="dxa"/>
              <w:bottom w:w="60" w:type="dxa"/>
              <w:right w:w="150" w:type="dxa"/>
            </w:tcMar>
            <w:vAlign w:val="center"/>
            <w:hideMark/>
          </w:tcPr>
          <w:p w:rsidR="00F01AC3" w:rsidRPr="00F01AC3" w:rsidRDefault="00F01AC3">
            <w:r w:rsidRPr="00F01AC3">
              <w:t>Midland</w:t>
            </w:r>
          </w:p>
        </w:tc>
      </w:tr>
      <w:tr w:rsidR="00F01AC3" w:rsidRPr="00F01AC3" w:rsidTr="00F01AC3">
        <w:trPr>
          <w:trHeight w:val="600"/>
        </w:trPr>
        <w:tc>
          <w:tcPr>
            <w:tcW w:w="0" w:type="auto"/>
            <w:tcBorders>
              <w:top w:val="single" w:sz="6" w:space="0" w:color="C4C4C4"/>
              <w:left w:val="single" w:sz="6" w:space="0" w:color="C4C4C4"/>
              <w:bottom w:val="single" w:sz="6" w:space="0" w:color="C4C4C4"/>
              <w:right w:val="single" w:sz="6" w:space="0" w:color="C4C4C4"/>
            </w:tcBorders>
            <w:tcMar>
              <w:top w:w="60" w:type="dxa"/>
              <w:left w:w="150" w:type="dxa"/>
              <w:bottom w:w="60" w:type="dxa"/>
              <w:right w:w="150" w:type="dxa"/>
            </w:tcMar>
            <w:hideMark/>
          </w:tcPr>
          <w:p w:rsidR="00F01AC3" w:rsidRPr="00F01AC3" w:rsidRDefault="00F01AC3">
            <w:r w:rsidRPr="00F01AC3">
              <w:t>Costs</w:t>
            </w:r>
          </w:p>
        </w:tc>
        <w:tc>
          <w:tcPr>
            <w:tcW w:w="0" w:type="auto"/>
            <w:tcBorders>
              <w:top w:val="single" w:sz="6" w:space="0" w:color="C4C4C4"/>
              <w:left w:val="single" w:sz="6" w:space="0" w:color="C4C4C4"/>
              <w:bottom w:val="single" w:sz="6" w:space="0" w:color="C4C4C4"/>
              <w:right w:val="single" w:sz="6" w:space="0" w:color="C4C4C4"/>
            </w:tcBorders>
            <w:tcMar>
              <w:top w:w="60" w:type="dxa"/>
              <w:left w:w="150" w:type="dxa"/>
              <w:bottom w:w="60" w:type="dxa"/>
              <w:right w:w="150" w:type="dxa"/>
            </w:tcMar>
            <w:vAlign w:val="center"/>
            <w:hideMark/>
          </w:tcPr>
          <w:p w:rsidR="00F01AC3" w:rsidRPr="00F01AC3" w:rsidRDefault="00F01AC3">
            <w:r w:rsidRPr="00F01AC3">
              <w:t>$784.30</w:t>
            </w:r>
          </w:p>
        </w:tc>
      </w:tr>
    </w:tbl>
    <w:p w:rsidR="004250B9" w:rsidRDefault="004250B9" w:rsidP="004250B9">
      <w:pPr>
        <w:pStyle w:val="NoSpacing"/>
      </w:pPr>
    </w:p>
    <w:p w:rsidR="004250B9" w:rsidRDefault="004250B9" w:rsidP="004250B9">
      <w:pPr>
        <w:pStyle w:val="NoSpacing"/>
      </w:pPr>
    </w:p>
    <w:p w:rsidR="004250B9" w:rsidRDefault="004250B9" w:rsidP="004250B9">
      <w:pPr>
        <w:pStyle w:val="NoSpacing"/>
      </w:pPr>
    </w:p>
    <w:p w:rsidR="004250B9" w:rsidRDefault="004250B9" w:rsidP="004250B9">
      <w:pPr>
        <w:pStyle w:val="NoSpacing"/>
      </w:pPr>
    </w:p>
    <w:p w:rsidR="004250B9" w:rsidRDefault="004250B9" w:rsidP="004250B9">
      <w:pPr>
        <w:pStyle w:val="NoSpacing"/>
      </w:pPr>
    </w:p>
    <w:p w:rsidR="004250B9" w:rsidRDefault="004250B9" w:rsidP="004250B9">
      <w:pPr>
        <w:pStyle w:val="NoSpacing"/>
      </w:pPr>
    </w:p>
    <w:p w:rsidR="004250B9" w:rsidRDefault="004250B9" w:rsidP="004250B9">
      <w:pPr>
        <w:pStyle w:val="NoSpacing"/>
      </w:pPr>
    </w:p>
    <w:p w:rsidR="00F01AC3" w:rsidRDefault="00F01AC3" w:rsidP="004250B9">
      <w:pPr>
        <w:pStyle w:val="NoSpacing"/>
      </w:pPr>
    </w:p>
    <w:p w:rsidR="00F01AC3" w:rsidRDefault="00F01AC3" w:rsidP="004250B9">
      <w:pPr>
        <w:pStyle w:val="NoSpacing"/>
      </w:pPr>
    </w:p>
    <w:p w:rsidR="00F01AC3" w:rsidRDefault="00F01AC3" w:rsidP="004250B9">
      <w:pPr>
        <w:pStyle w:val="NoSpacing"/>
      </w:pPr>
    </w:p>
    <w:p w:rsidR="00F01AC3" w:rsidRDefault="00F01AC3" w:rsidP="004250B9">
      <w:pPr>
        <w:pStyle w:val="NoSpacing"/>
      </w:pPr>
    </w:p>
    <w:p w:rsidR="00F01AC3" w:rsidRDefault="00F01AC3" w:rsidP="004250B9">
      <w:pPr>
        <w:pStyle w:val="NoSpacing"/>
      </w:pPr>
    </w:p>
    <w:p w:rsidR="00F01AC3" w:rsidRDefault="00F01AC3" w:rsidP="004250B9">
      <w:pPr>
        <w:pStyle w:val="NoSpacing"/>
      </w:pPr>
    </w:p>
    <w:p w:rsidR="00F01AC3" w:rsidRDefault="00F01AC3" w:rsidP="004250B9">
      <w:pPr>
        <w:pStyle w:val="NoSpacing"/>
      </w:pPr>
    </w:p>
    <w:p w:rsidR="00F01AC3" w:rsidRDefault="00F01AC3" w:rsidP="004250B9">
      <w:pPr>
        <w:pStyle w:val="NoSpacing"/>
      </w:pPr>
    </w:p>
    <w:p w:rsidR="00F01AC3" w:rsidRDefault="00F01AC3" w:rsidP="004250B9">
      <w:pPr>
        <w:pStyle w:val="NoSpacing"/>
      </w:pPr>
    </w:p>
    <w:p w:rsidR="00F01AC3" w:rsidRDefault="00F01AC3" w:rsidP="004250B9">
      <w:pPr>
        <w:pStyle w:val="NoSpacing"/>
      </w:pPr>
    </w:p>
    <w:p w:rsidR="00F01AC3" w:rsidRDefault="00F01AC3" w:rsidP="004250B9">
      <w:pPr>
        <w:pStyle w:val="NoSpacing"/>
      </w:pPr>
    </w:p>
    <w:p w:rsidR="00F01AC3" w:rsidRDefault="00F01AC3" w:rsidP="004250B9">
      <w:pPr>
        <w:pStyle w:val="NoSpacing"/>
      </w:pPr>
    </w:p>
    <w:p w:rsidR="00F01AC3" w:rsidRDefault="00F01AC3" w:rsidP="004250B9">
      <w:pPr>
        <w:pStyle w:val="NoSpacing"/>
      </w:pPr>
    </w:p>
    <w:p w:rsidR="00F01AC3" w:rsidRDefault="00F01AC3" w:rsidP="004250B9">
      <w:pPr>
        <w:pStyle w:val="NoSpacing"/>
      </w:pPr>
    </w:p>
    <w:p w:rsidR="00F01AC3" w:rsidRDefault="00F01AC3" w:rsidP="004250B9">
      <w:pPr>
        <w:pStyle w:val="NoSpacing"/>
      </w:pPr>
    </w:p>
    <w:p w:rsidR="00F01AC3" w:rsidRDefault="00F01AC3" w:rsidP="004250B9">
      <w:pPr>
        <w:pStyle w:val="NoSpacing"/>
      </w:pPr>
    </w:p>
    <w:p w:rsidR="00F01AC3" w:rsidRDefault="00F01AC3" w:rsidP="004250B9">
      <w:pPr>
        <w:pStyle w:val="NoSpacing"/>
      </w:pPr>
    </w:p>
    <w:p w:rsidR="00F01AC3" w:rsidRDefault="00F01AC3" w:rsidP="004250B9">
      <w:pPr>
        <w:pStyle w:val="NoSpacing"/>
      </w:pPr>
    </w:p>
    <w:p w:rsidR="00F01AC3" w:rsidRDefault="00F01AC3" w:rsidP="004250B9">
      <w:pPr>
        <w:pStyle w:val="NoSpacing"/>
      </w:pPr>
    </w:p>
    <w:p w:rsidR="00F01AC3" w:rsidRDefault="00F01AC3" w:rsidP="004250B9">
      <w:pPr>
        <w:pStyle w:val="NoSpacing"/>
      </w:pPr>
    </w:p>
    <w:p w:rsidR="00F01AC3" w:rsidRDefault="00F01AC3" w:rsidP="004250B9">
      <w:pPr>
        <w:pStyle w:val="NoSpacing"/>
      </w:pPr>
    </w:p>
    <w:p w:rsidR="00F01AC3" w:rsidRDefault="00F01AC3" w:rsidP="004250B9">
      <w:pPr>
        <w:pStyle w:val="NoSpacing"/>
      </w:pPr>
    </w:p>
    <w:p w:rsidR="00F01AC3" w:rsidRDefault="00F01AC3" w:rsidP="004250B9">
      <w:pPr>
        <w:pStyle w:val="NoSpacing"/>
      </w:pPr>
    </w:p>
    <w:p w:rsidR="00F01AC3" w:rsidRDefault="00F01AC3" w:rsidP="004250B9">
      <w:pPr>
        <w:pStyle w:val="NoSpacing"/>
      </w:pPr>
    </w:p>
    <w:p w:rsidR="00F01AC3" w:rsidRDefault="00F01AC3" w:rsidP="004250B9">
      <w:pPr>
        <w:pStyle w:val="NoSpacing"/>
      </w:pPr>
    </w:p>
    <w:p w:rsidR="00F01AC3" w:rsidRDefault="00F01AC3" w:rsidP="004250B9">
      <w:pPr>
        <w:pStyle w:val="NoSpacing"/>
      </w:pPr>
    </w:p>
    <w:p w:rsidR="00F01AC3" w:rsidRDefault="00F01AC3" w:rsidP="004250B9">
      <w:pPr>
        <w:pStyle w:val="NoSpacing"/>
      </w:pPr>
    </w:p>
    <w:p w:rsidR="00F01AC3" w:rsidRDefault="00F01AC3" w:rsidP="004250B9">
      <w:pPr>
        <w:pStyle w:val="NoSpacing"/>
      </w:pPr>
    </w:p>
    <w:p w:rsidR="00F01AC3" w:rsidRDefault="00F01AC3" w:rsidP="004250B9">
      <w:pPr>
        <w:pStyle w:val="NoSpacing"/>
      </w:pPr>
    </w:p>
    <w:p w:rsidR="004250B9" w:rsidRDefault="004250B9" w:rsidP="004250B9">
      <w:pPr>
        <w:pStyle w:val="NoSpacing"/>
      </w:pPr>
    </w:p>
    <w:tbl>
      <w:tblPr>
        <w:tblW w:w="5000" w:type="pct"/>
        <w:tblCellMar>
          <w:left w:w="0" w:type="dxa"/>
          <w:right w:w="0" w:type="dxa"/>
        </w:tblCellMar>
        <w:tblLook w:val="04A0" w:firstRow="1" w:lastRow="0" w:firstColumn="1" w:lastColumn="0" w:noHBand="0" w:noVBand="1"/>
      </w:tblPr>
      <w:tblGrid>
        <w:gridCol w:w="3973"/>
        <w:gridCol w:w="5037"/>
      </w:tblGrid>
      <w:tr w:rsidR="00F01AC3" w:rsidRPr="00F01AC3" w:rsidTr="00F01AC3">
        <w:trPr>
          <w:trHeight w:val="600"/>
        </w:trPr>
        <w:tc>
          <w:tcPr>
            <w:tcW w:w="0" w:type="auto"/>
            <w:tcBorders>
              <w:top w:val="single" w:sz="6" w:space="0" w:color="C4C4C4"/>
              <w:left w:val="single" w:sz="6" w:space="0" w:color="C4C4C4"/>
              <w:bottom w:val="single" w:sz="6" w:space="0" w:color="C4C4C4"/>
              <w:right w:val="single" w:sz="6" w:space="0" w:color="C4C4C4"/>
            </w:tcBorders>
            <w:tcMar>
              <w:top w:w="60" w:type="dxa"/>
              <w:left w:w="150" w:type="dxa"/>
              <w:bottom w:w="60" w:type="dxa"/>
              <w:right w:w="150" w:type="dxa"/>
            </w:tcMar>
            <w:hideMark/>
          </w:tcPr>
          <w:p w:rsidR="00F01AC3" w:rsidRPr="00F01AC3" w:rsidRDefault="00F01AC3" w:rsidP="00F01AC3">
            <w:pPr>
              <w:spacing w:after="0" w:line="240" w:lineRule="auto"/>
              <w:rPr>
                <w:rFonts w:ascii="Arial" w:eastAsia="Times New Roman" w:hAnsi="Arial" w:cs="Arial"/>
                <w:color w:val="000000"/>
                <w:sz w:val="21"/>
                <w:szCs w:val="21"/>
                <w:lang w:eastAsia="en-AU"/>
              </w:rPr>
            </w:pPr>
            <w:r>
              <w:rPr>
                <w:rFonts w:ascii="Arial" w:eastAsia="Times New Roman" w:hAnsi="Arial" w:cs="Arial"/>
                <w:b/>
                <w:bCs/>
                <w:color w:val="000000"/>
                <w:sz w:val="21"/>
                <w:szCs w:val="21"/>
                <w:lang w:eastAsia="en-AU"/>
              </w:rPr>
              <w:lastRenderedPageBreak/>
              <w:t>O</w:t>
            </w:r>
            <w:r w:rsidRPr="00F01AC3">
              <w:rPr>
                <w:rFonts w:ascii="Arial" w:eastAsia="Times New Roman" w:hAnsi="Arial" w:cs="Arial"/>
                <w:b/>
                <w:bCs/>
                <w:color w:val="000000"/>
                <w:sz w:val="21"/>
                <w:szCs w:val="21"/>
                <w:lang w:eastAsia="en-AU"/>
              </w:rPr>
              <w:t>ffender</w:t>
            </w:r>
          </w:p>
        </w:tc>
        <w:tc>
          <w:tcPr>
            <w:tcW w:w="0" w:type="auto"/>
            <w:tcBorders>
              <w:top w:val="single" w:sz="6" w:space="0" w:color="C4C4C4"/>
              <w:left w:val="single" w:sz="6" w:space="0" w:color="C4C4C4"/>
              <w:bottom w:val="single" w:sz="6" w:space="0" w:color="C4C4C4"/>
              <w:right w:val="single" w:sz="6" w:space="0" w:color="C4C4C4"/>
            </w:tcBorders>
            <w:tcMar>
              <w:top w:w="60" w:type="dxa"/>
              <w:left w:w="150" w:type="dxa"/>
              <w:bottom w:w="60" w:type="dxa"/>
              <w:right w:w="150" w:type="dxa"/>
            </w:tcMar>
            <w:vAlign w:val="center"/>
            <w:hideMark/>
          </w:tcPr>
          <w:p w:rsidR="00F01AC3" w:rsidRPr="00F01AC3" w:rsidRDefault="00F01AC3" w:rsidP="00F01AC3">
            <w:pPr>
              <w:spacing w:after="0" w:line="240" w:lineRule="auto"/>
              <w:rPr>
                <w:rFonts w:ascii="Arial" w:eastAsia="Times New Roman" w:hAnsi="Arial" w:cs="Arial"/>
                <w:color w:val="000000"/>
                <w:sz w:val="21"/>
                <w:szCs w:val="21"/>
                <w:lang w:eastAsia="en-AU"/>
              </w:rPr>
            </w:pPr>
            <w:r w:rsidRPr="00F01AC3">
              <w:rPr>
                <w:rFonts w:ascii="Arial" w:eastAsia="Times New Roman" w:hAnsi="Arial" w:cs="Arial"/>
                <w:color w:val="000000"/>
                <w:sz w:val="21"/>
                <w:szCs w:val="21"/>
                <w:lang w:eastAsia="en-AU"/>
              </w:rPr>
              <w:t>Leslie Taylor</w:t>
            </w:r>
          </w:p>
        </w:tc>
      </w:tr>
    </w:tbl>
    <w:p w:rsidR="004250B9" w:rsidRDefault="004250B9" w:rsidP="004250B9">
      <w:pPr>
        <w:pStyle w:val="NoSpacing"/>
      </w:pPr>
    </w:p>
    <w:p w:rsidR="00F01AC3" w:rsidRDefault="00F01AC3" w:rsidP="00F01AC3">
      <w:pPr>
        <w:pStyle w:val="NoSpacing"/>
      </w:pPr>
      <w:r w:rsidRPr="00F01AC3">
        <w:t>Charges</w:t>
      </w:r>
    </w:p>
    <w:p w:rsidR="00F01AC3" w:rsidRPr="00F01AC3" w:rsidRDefault="00F01AC3" w:rsidP="00F01AC3">
      <w:pPr>
        <w:pStyle w:val="NoSpacing"/>
      </w:pPr>
    </w:p>
    <w:tbl>
      <w:tblPr>
        <w:tblW w:w="8489" w:type="dxa"/>
        <w:tblCellMar>
          <w:left w:w="0" w:type="dxa"/>
          <w:right w:w="0" w:type="dxa"/>
        </w:tblCellMar>
        <w:tblLook w:val="04A0" w:firstRow="1" w:lastRow="0" w:firstColumn="1" w:lastColumn="0" w:noHBand="0" w:noVBand="1"/>
      </w:tblPr>
      <w:tblGrid>
        <w:gridCol w:w="1667"/>
        <w:gridCol w:w="6822"/>
      </w:tblGrid>
      <w:tr w:rsidR="00F01AC3" w:rsidRPr="00F01AC3" w:rsidTr="00F01AC3">
        <w:trPr>
          <w:trHeight w:val="600"/>
        </w:trPr>
        <w:tc>
          <w:tcPr>
            <w:tcW w:w="0" w:type="auto"/>
            <w:tcBorders>
              <w:top w:val="single" w:sz="6" w:space="0" w:color="C4C4C4"/>
              <w:left w:val="single" w:sz="6" w:space="0" w:color="C4C4C4"/>
              <w:bottom w:val="single" w:sz="6" w:space="0" w:color="C4C4C4"/>
              <w:right w:val="single" w:sz="6" w:space="0" w:color="C4C4C4"/>
            </w:tcBorders>
            <w:tcMar>
              <w:top w:w="60" w:type="dxa"/>
              <w:left w:w="150" w:type="dxa"/>
              <w:bottom w:w="60" w:type="dxa"/>
              <w:right w:w="150" w:type="dxa"/>
            </w:tcMar>
            <w:hideMark/>
          </w:tcPr>
          <w:p w:rsidR="00F01AC3" w:rsidRPr="00F01AC3" w:rsidRDefault="00F01AC3" w:rsidP="00F01AC3">
            <w:pPr>
              <w:pStyle w:val="NoSpacing"/>
            </w:pPr>
            <w:r w:rsidRPr="00F01AC3">
              <w:t>Description of Breach(</w:t>
            </w:r>
            <w:proofErr w:type="spellStart"/>
            <w:r w:rsidRPr="00F01AC3">
              <w:t>es</w:t>
            </w:r>
            <w:proofErr w:type="spellEnd"/>
            <w:r w:rsidRPr="00F01AC3">
              <w:t>)</w:t>
            </w:r>
          </w:p>
        </w:tc>
        <w:tc>
          <w:tcPr>
            <w:tcW w:w="0" w:type="auto"/>
            <w:tcBorders>
              <w:top w:val="single" w:sz="6" w:space="0" w:color="C4C4C4"/>
              <w:left w:val="single" w:sz="6" w:space="0" w:color="C4C4C4"/>
              <w:bottom w:val="single" w:sz="6" w:space="0" w:color="C4C4C4"/>
              <w:right w:val="single" w:sz="6" w:space="0" w:color="C4C4C4"/>
            </w:tcBorders>
            <w:tcMar>
              <w:top w:w="60" w:type="dxa"/>
              <w:left w:w="150" w:type="dxa"/>
              <w:bottom w:w="60" w:type="dxa"/>
              <w:right w:w="150" w:type="dxa"/>
            </w:tcMar>
            <w:vAlign w:val="center"/>
            <w:hideMark/>
          </w:tcPr>
          <w:p w:rsidR="00F01AC3" w:rsidRPr="00F01AC3" w:rsidRDefault="00F01AC3" w:rsidP="00F01AC3">
            <w:pPr>
              <w:pStyle w:val="NoSpacing"/>
            </w:pPr>
            <w:r w:rsidRPr="00F01AC3">
              <w:t>Being an employee, failed to take reasonable care to avoid adversely affecting the safety or health of any other person through any act of omission at work. Sections 20(1)(b) and 20A(2) of the Occupational Safety and Health Act 1984</w:t>
            </w:r>
          </w:p>
        </w:tc>
      </w:tr>
      <w:tr w:rsidR="00F01AC3" w:rsidRPr="00F01AC3" w:rsidTr="00F01AC3">
        <w:trPr>
          <w:trHeight w:val="600"/>
        </w:trPr>
        <w:tc>
          <w:tcPr>
            <w:tcW w:w="0" w:type="auto"/>
            <w:tcBorders>
              <w:top w:val="nil"/>
              <w:left w:val="single" w:sz="6" w:space="0" w:color="C4C4C4"/>
              <w:bottom w:val="single" w:sz="6" w:space="0" w:color="C4C4C4"/>
              <w:right w:val="single" w:sz="6" w:space="0" w:color="C4C4C4"/>
            </w:tcBorders>
            <w:shd w:val="clear" w:color="auto" w:fill="auto"/>
            <w:tcMar>
              <w:top w:w="60" w:type="dxa"/>
              <w:left w:w="150" w:type="dxa"/>
              <w:bottom w:w="60" w:type="dxa"/>
              <w:right w:w="150" w:type="dxa"/>
            </w:tcMar>
            <w:hideMark/>
          </w:tcPr>
          <w:p w:rsidR="00F01AC3" w:rsidRPr="00F01AC3" w:rsidRDefault="00F01AC3" w:rsidP="00F01AC3">
            <w:pPr>
              <w:pStyle w:val="NoSpacing"/>
            </w:pPr>
            <w:r w:rsidRPr="00F01AC3">
              <w:t>Background Details</w:t>
            </w:r>
          </w:p>
        </w:tc>
        <w:tc>
          <w:tcPr>
            <w:tcW w:w="0" w:type="auto"/>
            <w:tcBorders>
              <w:top w:val="nil"/>
              <w:left w:val="single" w:sz="6" w:space="0" w:color="C4C4C4"/>
              <w:bottom w:val="single" w:sz="6" w:space="0" w:color="C4C4C4"/>
              <w:right w:val="single" w:sz="6" w:space="0" w:color="C4C4C4"/>
            </w:tcBorders>
            <w:shd w:val="clear" w:color="auto" w:fill="auto"/>
            <w:tcMar>
              <w:top w:w="60" w:type="dxa"/>
              <w:left w:w="150" w:type="dxa"/>
              <w:bottom w:w="60" w:type="dxa"/>
              <w:right w:w="150" w:type="dxa"/>
            </w:tcMar>
            <w:vAlign w:val="center"/>
            <w:hideMark/>
          </w:tcPr>
          <w:p w:rsidR="00F01AC3" w:rsidRPr="00F01AC3" w:rsidRDefault="00F01AC3" w:rsidP="00F01AC3">
            <w:pPr>
              <w:pStyle w:val="NoSpacing"/>
            </w:pPr>
            <w:r w:rsidRPr="00F01AC3">
              <w:t>Leslie Taylor was employed by a car dealership as a pre-delivery assistant.</w:t>
            </w:r>
          </w:p>
          <w:p w:rsidR="00F01AC3" w:rsidRPr="00F01AC3" w:rsidRDefault="00F01AC3" w:rsidP="00F01AC3">
            <w:pPr>
              <w:pStyle w:val="NoSpacing"/>
            </w:pPr>
            <w:r w:rsidRPr="00F01AC3">
              <w:t>The car dealership operated in Attadale and included vehicle servicing facilities (Workplace).</w:t>
            </w:r>
          </w:p>
          <w:p w:rsidR="00F01AC3" w:rsidRPr="00F01AC3" w:rsidRDefault="00F01AC3" w:rsidP="00F01AC3">
            <w:pPr>
              <w:pStyle w:val="NoSpacing"/>
            </w:pPr>
            <w:r w:rsidRPr="00F01AC3">
              <w:t>The Workplace consisted of both showrooms and a mechanical workshop at the rear of the premises. The mechanical workshop had four work bays. Opposite the workshop there were two wash bays.</w:t>
            </w:r>
          </w:p>
          <w:p w:rsidR="00F01AC3" w:rsidRPr="00F01AC3" w:rsidRDefault="00F01AC3" w:rsidP="00F01AC3">
            <w:pPr>
              <w:pStyle w:val="NoSpacing"/>
            </w:pPr>
            <w:r w:rsidRPr="00F01AC3">
              <w:t xml:space="preserve">On 10 July 2013 Mr Taylor was conducting a pre-delivery check on a new un-registered black Holden </w:t>
            </w:r>
            <w:proofErr w:type="spellStart"/>
            <w:r w:rsidRPr="00F01AC3">
              <w:t>Cruze</w:t>
            </w:r>
            <w:proofErr w:type="spellEnd"/>
            <w:r w:rsidRPr="00F01AC3">
              <w:t xml:space="preserve"> (Vehicle).</w:t>
            </w:r>
          </w:p>
          <w:p w:rsidR="00F01AC3" w:rsidRPr="00F01AC3" w:rsidRDefault="00F01AC3" w:rsidP="00F01AC3">
            <w:pPr>
              <w:pStyle w:val="NoSpacing"/>
            </w:pPr>
            <w:r w:rsidRPr="00F01AC3">
              <w:t>After lunch on this day Mr Taylor drove the Vehicle from the window tinting workshop to his work bay.</w:t>
            </w:r>
          </w:p>
          <w:p w:rsidR="00F01AC3" w:rsidRPr="00F01AC3" w:rsidRDefault="00F01AC3" w:rsidP="00F01AC3">
            <w:pPr>
              <w:pStyle w:val="NoSpacing"/>
            </w:pPr>
            <w:r w:rsidRPr="00F01AC3">
              <w:t>Mr Taylor noticed that another employee (a parts manager employed by the car dealership) was standing in the middle of the entry to the work bay. The parts manager moved to the right side of the work bay when he saw Mr Taylor.</w:t>
            </w:r>
          </w:p>
          <w:p w:rsidR="00F01AC3" w:rsidRPr="00F01AC3" w:rsidRDefault="00F01AC3" w:rsidP="00F01AC3">
            <w:pPr>
              <w:pStyle w:val="NoSpacing"/>
            </w:pPr>
            <w:r w:rsidRPr="00F01AC3">
              <w:t>After Mr Taylor had driven the Vehicle into the work bay he left the engine running and placed it into reverse gear with a view to checking the rear lights.</w:t>
            </w:r>
          </w:p>
          <w:p w:rsidR="00F01AC3" w:rsidRPr="00F01AC3" w:rsidRDefault="00F01AC3" w:rsidP="00F01AC3">
            <w:pPr>
              <w:pStyle w:val="NoSpacing"/>
            </w:pPr>
            <w:r w:rsidRPr="00F01AC3">
              <w:t>As the parts manager was standing nearby, Mr Taylor asked him to check that the lights were working.</w:t>
            </w:r>
          </w:p>
          <w:p w:rsidR="00F01AC3" w:rsidRPr="00F01AC3" w:rsidRDefault="00F01AC3" w:rsidP="00F01AC3">
            <w:pPr>
              <w:pStyle w:val="NoSpacing"/>
            </w:pPr>
            <w:r w:rsidRPr="00F01AC3">
              <w:t>Whilst the parts manager was leaning over the rear of the Vehicle to check the lights the Vehicle suddenly lunged backwards.</w:t>
            </w:r>
          </w:p>
          <w:p w:rsidR="00F01AC3" w:rsidRPr="00F01AC3" w:rsidRDefault="00F01AC3" w:rsidP="00F01AC3">
            <w:pPr>
              <w:pStyle w:val="NoSpacing"/>
            </w:pPr>
            <w:r w:rsidRPr="00F01AC3">
              <w:t>Mr Taylor had accidently pressed the accelerator rather than the brake pedal.</w:t>
            </w:r>
          </w:p>
          <w:p w:rsidR="00F01AC3" w:rsidRPr="00F01AC3" w:rsidRDefault="00F01AC3" w:rsidP="00F01AC3">
            <w:pPr>
              <w:pStyle w:val="NoSpacing"/>
            </w:pPr>
            <w:r w:rsidRPr="00F01AC3">
              <w:t>The parts manager was struck by the Vehicle and dragged under it for 11.6 metres (from the work bay to the wash bay).</w:t>
            </w:r>
          </w:p>
          <w:p w:rsidR="00F01AC3" w:rsidRPr="00F01AC3" w:rsidRDefault="00F01AC3" w:rsidP="00F01AC3">
            <w:pPr>
              <w:pStyle w:val="NoSpacing"/>
            </w:pPr>
            <w:r w:rsidRPr="00F01AC3">
              <w:t>The CCTV footage showed that the Vehicle reversed at speed from the work bay, colliding with another vehicle in the yard (Holden Commodore SS) and then finally stopping when it collided with another vehicle (Hyundai i20) down in the wash bay.</w:t>
            </w:r>
          </w:p>
          <w:p w:rsidR="00F01AC3" w:rsidRPr="00F01AC3" w:rsidRDefault="00F01AC3" w:rsidP="00F01AC3">
            <w:pPr>
              <w:pStyle w:val="NoSpacing"/>
            </w:pPr>
            <w:r w:rsidRPr="00F01AC3">
              <w:t>The parts manager suffered fatal chest injuries.</w:t>
            </w:r>
          </w:p>
          <w:p w:rsidR="00F01AC3" w:rsidRPr="00F01AC3" w:rsidRDefault="00F01AC3" w:rsidP="00F01AC3">
            <w:pPr>
              <w:pStyle w:val="NoSpacing"/>
            </w:pPr>
            <w:r w:rsidRPr="00F01AC3">
              <w:t>The Vehicle’s engine was not required to be running in order to check the rear lights. The key only needed to be turned to the accessories mode. Mr Taylor was aware of this fact.</w:t>
            </w:r>
          </w:p>
          <w:p w:rsidR="00F01AC3" w:rsidRPr="00F01AC3" w:rsidRDefault="00F01AC3" w:rsidP="00F01AC3">
            <w:pPr>
              <w:pStyle w:val="NoSpacing"/>
            </w:pPr>
            <w:r w:rsidRPr="00F01AC3">
              <w:t>The Vehicle was examined by the WA Police Vehicle Investigation Unit on 26 July 2013 and 2 August 2013. No defects were detected with the Vehicle.</w:t>
            </w:r>
          </w:p>
          <w:p w:rsidR="00F01AC3" w:rsidRPr="00F01AC3" w:rsidRDefault="00F01AC3" w:rsidP="00F01AC3">
            <w:pPr>
              <w:pStyle w:val="NoSpacing"/>
            </w:pPr>
            <w:r w:rsidRPr="00F01AC3">
              <w:t>By failing to ensure that the parts manager was not standing behind the Vehicle while it was in reverse gear and the engine was running, Mr Taylor has failed to take reasonable care not to adversely affect other persons.</w:t>
            </w:r>
          </w:p>
          <w:p w:rsidR="00F01AC3" w:rsidRPr="00F01AC3" w:rsidRDefault="00F01AC3" w:rsidP="00F01AC3">
            <w:pPr>
              <w:pStyle w:val="NoSpacing"/>
            </w:pPr>
            <w:r w:rsidRPr="00F01AC3">
              <w:lastRenderedPageBreak/>
              <w:t>Mr Taylor’s failure to take reasonable care has caused the death of the parts manager.</w:t>
            </w:r>
          </w:p>
          <w:p w:rsidR="00F01AC3" w:rsidRPr="00F01AC3" w:rsidRDefault="00F01AC3" w:rsidP="00F01AC3">
            <w:pPr>
              <w:pStyle w:val="NoSpacing"/>
            </w:pPr>
            <w:r w:rsidRPr="00F01AC3">
              <w:br/>
            </w:r>
            <w:r w:rsidRPr="00F01AC3">
              <w:br/>
            </w:r>
          </w:p>
        </w:tc>
      </w:tr>
      <w:tr w:rsidR="00F01AC3" w:rsidRPr="00F01AC3" w:rsidTr="00F01AC3">
        <w:trPr>
          <w:trHeight w:val="600"/>
        </w:trPr>
        <w:tc>
          <w:tcPr>
            <w:tcW w:w="0" w:type="auto"/>
            <w:tcBorders>
              <w:top w:val="single" w:sz="6" w:space="0" w:color="C4C4C4"/>
              <w:left w:val="single" w:sz="6" w:space="0" w:color="C4C4C4"/>
              <w:bottom w:val="single" w:sz="6" w:space="0" w:color="C4C4C4"/>
              <w:right w:val="single" w:sz="6" w:space="0" w:color="C4C4C4"/>
            </w:tcBorders>
            <w:tcMar>
              <w:top w:w="60" w:type="dxa"/>
              <w:left w:w="150" w:type="dxa"/>
              <w:bottom w:w="60" w:type="dxa"/>
              <w:right w:w="150" w:type="dxa"/>
            </w:tcMar>
            <w:hideMark/>
          </w:tcPr>
          <w:p w:rsidR="00F01AC3" w:rsidRPr="00F01AC3" w:rsidRDefault="00F01AC3" w:rsidP="00F01AC3">
            <w:pPr>
              <w:pStyle w:val="NoSpacing"/>
            </w:pPr>
            <w:r w:rsidRPr="00F01AC3">
              <w:lastRenderedPageBreak/>
              <w:t>Outcome Summary</w:t>
            </w:r>
          </w:p>
        </w:tc>
        <w:tc>
          <w:tcPr>
            <w:tcW w:w="0" w:type="auto"/>
            <w:tcBorders>
              <w:top w:val="single" w:sz="6" w:space="0" w:color="C4C4C4"/>
              <w:left w:val="single" w:sz="6" w:space="0" w:color="C4C4C4"/>
              <w:bottom w:val="single" w:sz="6" w:space="0" w:color="C4C4C4"/>
              <w:right w:val="single" w:sz="6" w:space="0" w:color="C4C4C4"/>
            </w:tcBorders>
            <w:tcMar>
              <w:top w:w="60" w:type="dxa"/>
              <w:left w:w="150" w:type="dxa"/>
              <w:bottom w:w="60" w:type="dxa"/>
              <w:right w:w="150" w:type="dxa"/>
            </w:tcMar>
            <w:vAlign w:val="center"/>
            <w:hideMark/>
          </w:tcPr>
          <w:p w:rsidR="00F01AC3" w:rsidRPr="00F01AC3" w:rsidRDefault="00F01AC3" w:rsidP="00F01AC3">
            <w:pPr>
              <w:pStyle w:val="NoSpacing"/>
            </w:pPr>
            <w:r w:rsidRPr="00F01AC3">
              <w:t>The Accused was found guilty after a two day trial and was convicted on 25 January 2017.   The Magistrate fined the Accused $9500.00 and ordered costs of $12,052.75.</w:t>
            </w:r>
          </w:p>
        </w:tc>
      </w:tr>
      <w:tr w:rsidR="00F01AC3" w:rsidRPr="00F01AC3" w:rsidTr="00F01AC3">
        <w:trPr>
          <w:trHeight w:val="600"/>
        </w:trPr>
        <w:tc>
          <w:tcPr>
            <w:tcW w:w="0" w:type="auto"/>
            <w:tcBorders>
              <w:top w:val="single" w:sz="6" w:space="0" w:color="C4C4C4"/>
              <w:left w:val="single" w:sz="6" w:space="0" w:color="C4C4C4"/>
              <w:bottom w:val="single" w:sz="6" w:space="0" w:color="C4C4C4"/>
              <w:right w:val="single" w:sz="6" w:space="0" w:color="C4C4C4"/>
            </w:tcBorders>
            <w:shd w:val="clear" w:color="auto" w:fill="auto"/>
            <w:tcMar>
              <w:top w:w="60" w:type="dxa"/>
              <w:left w:w="150" w:type="dxa"/>
              <w:bottom w:w="60" w:type="dxa"/>
              <w:right w:w="150" w:type="dxa"/>
            </w:tcMar>
            <w:hideMark/>
          </w:tcPr>
          <w:p w:rsidR="00F01AC3" w:rsidRPr="00F01AC3" w:rsidRDefault="00F01AC3" w:rsidP="00F01AC3">
            <w:pPr>
              <w:pStyle w:val="NoSpacing"/>
            </w:pPr>
            <w:r w:rsidRPr="00F01AC3">
              <w:t>Court</w:t>
            </w:r>
          </w:p>
        </w:tc>
        <w:tc>
          <w:tcPr>
            <w:tcW w:w="0" w:type="auto"/>
            <w:tcBorders>
              <w:top w:val="single" w:sz="6" w:space="0" w:color="C4C4C4"/>
              <w:left w:val="single" w:sz="6" w:space="0" w:color="C4C4C4"/>
              <w:bottom w:val="single" w:sz="6" w:space="0" w:color="C4C4C4"/>
              <w:right w:val="single" w:sz="6" w:space="0" w:color="C4C4C4"/>
            </w:tcBorders>
            <w:shd w:val="clear" w:color="auto" w:fill="auto"/>
            <w:tcMar>
              <w:top w:w="60" w:type="dxa"/>
              <w:left w:w="150" w:type="dxa"/>
              <w:bottom w:w="60" w:type="dxa"/>
              <w:right w:w="150" w:type="dxa"/>
            </w:tcMar>
            <w:vAlign w:val="center"/>
            <w:hideMark/>
          </w:tcPr>
          <w:p w:rsidR="00F01AC3" w:rsidRPr="00F01AC3" w:rsidRDefault="00F01AC3" w:rsidP="00F01AC3">
            <w:pPr>
              <w:pStyle w:val="NoSpacing"/>
            </w:pPr>
            <w:r w:rsidRPr="00F01AC3">
              <w:t>Magistrates Court of Western Australia - Fremantle</w:t>
            </w:r>
          </w:p>
        </w:tc>
      </w:tr>
      <w:tr w:rsidR="00F01AC3" w:rsidRPr="00F01AC3" w:rsidTr="00F01AC3">
        <w:trPr>
          <w:trHeight w:val="600"/>
        </w:trPr>
        <w:tc>
          <w:tcPr>
            <w:tcW w:w="0" w:type="auto"/>
            <w:tcBorders>
              <w:top w:val="single" w:sz="6" w:space="0" w:color="C4C4C4"/>
              <w:left w:val="single" w:sz="6" w:space="0" w:color="C4C4C4"/>
              <w:bottom w:val="single" w:sz="6" w:space="0" w:color="C4C4C4"/>
              <w:right w:val="single" w:sz="6" w:space="0" w:color="C4C4C4"/>
            </w:tcBorders>
            <w:tcMar>
              <w:top w:w="60" w:type="dxa"/>
              <w:left w:w="150" w:type="dxa"/>
              <w:bottom w:w="60" w:type="dxa"/>
              <w:right w:w="150" w:type="dxa"/>
            </w:tcMar>
            <w:hideMark/>
          </w:tcPr>
          <w:p w:rsidR="00F01AC3" w:rsidRPr="00F01AC3" w:rsidRDefault="00F01AC3" w:rsidP="00F01AC3">
            <w:pPr>
              <w:pStyle w:val="NoSpacing"/>
            </w:pPr>
            <w:r w:rsidRPr="00F01AC3">
              <w:t>Costs</w:t>
            </w:r>
          </w:p>
        </w:tc>
        <w:tc>
          <w:tcPr>
            <w:tcW w:w="0" w:type="auto"/>
            <w:tcBorders>
              <w:top w:val="single" w:sz="6" w:space="0" w:color="C4C4C4"/>
              <w:left w:val="single" w:sz="6" w:space="0" w:color="C4C4C4"/>
              <w:bottom w:val="single" w:sz="6" w:space="0" w:color="C4C4C4"/>
              <w:right w:val="single" w:sz="6" w:space="0" w:color="C4C4C4"/>
            </w:tcBorders>
            <w:tcMar>
              <w:top w:w="60" w:type="dxa"/>
              <w:left w:w="150" w:type="dxa"/>
              <w:bottom w:w="60" w:type="dxa"/>
              <w:right w:w="150" w:type="dxa"/>
            </w:tcMar>
            <w:vAlign w:val="center"/>
            <w:hideMark/>
          </w:tcPr>
          <w:p w:rsidR="00F01AC3" w:rsidRPr="00F01AC3" w:rsidRDefault="00F01AC3" w:rsidP="00F01AC3">
            <w:pPr>
              <w:pStyle w:val="NoSpacing"/>
            </w:pPr>
            <w:r w:rsidRPr="00F01AC3">
              <w:t>$12,052.75</w:t>
            </w:r>
          </w:p>
        </w:tc>
      </w:tr>
    </w:tbl>
    <w:p w:rsidR="004250B9" w:rsidRDefault="004250B9" w:rsidP="00F01AC3">
      <w:pPr>
        <w:pStyle w:val="NoSpacing"/>
      </w:pPr>
    </w:p>
    <w:p w:rsidR="00F01AC3" w:rsidRDefault="00F01AC3" w:rsidP="00F01AC3">
      <w:pPr>
        <w:pStyle w:val="NoSpacing"/>
      </w:pPr>
    </w:p>
    <w:p w:rsidR="00F01AC3" w:rsidRDefault="00F01AC3" w:rsidP="00F01AC3">
      <w:pPr>
        <w:pStyle w:val="NoSpacing"/>
      </w:pPr>
    </w:p>
    <w:p w:rsidR="00F01AC3" w:rsidRDefault="00F01AC3" w:rsidP="00F01AC3">
      <w:pPr>
        <w:pStyle w:val="NoSpacing"/>
      </w:pPr>
    </w:p>
    <w:p w:rsidR="00F01AC3" w:rsidRDefault="00F01AC3" w:rsidP="00F01AC3">
      <w:pPr>
        <w:pStyle w:val="NoSpacing"/>
      </w:pPr>
      <w:bookmarkStart w:id="3" w:name="_GoBack"/>
      <w:bookmarkEnd w:id="3"/>
    </w:p>
    <w:p w:rsidR="00F01AC3" w:rsidRDefault="00F01AC3" w:rsidP="00F01AC3">
      <w:pPr>
        <w:pStyle w:val="NoSpacing"/>
      </w:pPr>
    </w:p>
    <w:p w:rsidR="00F01AC3" w:rsidRDefault="00F01AC3" w:rsidP="00F01AC3">
      <w:pPr>
        <w:pStyle w:val="NoSpacing"/>
      </w:pPr>
    </w:p>
    <w:p w:rsidR="00F01AC3" w:rsidRDefault="00F01AC3" w:rsidP="00F01AC3">
      <w:pPr>
        <w:pStyle w:val="NoSpacing"/>
      </w:pPr>
    </w:p>
    <w:p w:rsidR="00F01AC3" w:rsidRDefault="00F01AC3" w:rsidP="00F01AC3">
      <w:pPr>
        <w:pStyle w:val="NoSpacing"/>
      </w:pPr>
    </w:p>
    <w:p w:rsidR="00F01AC3" w:rsidRDefault="00F01AC3" w:rsidP="00F01AC3">
      <w:pPr>
        <w:pStyle w:val="NoSpacing"/>
      </w:pPr>
    </w:p>
    <w:p w:rsidR="00F01AC3" w:rsidRDefault="00F01AC3" w:rsidP="00F01AC3">
      <w:pPr>
        <w:pStyle w:val="NoSpacing"/>
      </w:pPr>
    </w:p>
    <w:p w:rsidR="00F01AC3" w:rsidRDefault="00F01AC3" w:rsidP="00F01AC3">
      <w:pPr>
        <w:pStyle w:val="NoSpacing"/>
      </w:pPr>
    </w:p>
    <w:p w:rsidR="00F01AC3" w:rsidRDefault="00F01AC3" w:rsidP="00F01AC3">
      <w:pPr>
        <w:pStyle w:val="NoSpacing"/>
      </w:pPr>
    </w:p>
    <w:p w:rsidR="00F01AC3" w:rsidRDefault="00F01AC3" w:rsidP="00F01AC3">
      <w:pPr>
        <w:pStyle w:val="NoSpacing"/>
      </w:pPr>
    </w:p>
    <w:p w:rsidR="00F01AC3" w:rsidRDefault="00F01AC3" w:rsidP="00F01AC3">
      <w:pPr>
        <w:pStyle w:val="NoSpacing"/>
      </w:pPr>
    </w:p>
    <w:p w:rsidR="00F01AC3" w:rsidRDefault="00F01AC3" w:rsidP="00F01AC3">
      <w:pPr>
        <w:pStyle w:val="NoSpacing"/>
      </w:pPr>
    </w:p>
    <w:p w:rsidR="00F01AC3" w:rsidRDefault="00F01AC3" w:rsidP="00F01AC3">
      <w:pPr>
        <w:pStyle w:val="NoSpacing"/>
      </w:pPr>
    </w:p>
    <w:p w:rsidR="00F01AC3" w:rsidRDefault="00F01AC3" w:rsidP="00F01AC3">
      <w:pPr>
        <w:pStyle w:val="NoSpacing"/>
      </w:pPr>
    </w:p>
    <w:p w:rsidR="00F01AC3" w:rsidRDefault="00F01AC3" w:rsidP="00F01AC3">
      <w:pPr>
        <w:pStyle w:val="NoSpacing"/>
      </w:pPr>
    </w:p>
    <w:p w:rsidR="00F01AC3" w:rsidRDefault="00F01AC3" w:rsidP="00F01AC3">
      <w:pPr>
        <w:pStyle w:val="NoSpacing"/>
      </w:pPr>
    </w:p>
    <w:p w:rsidR="00F01AC3" w:rsidRDefault="00F01AC3" w:rsidP="00F01AC3">
      <w:pPr>
        <w:pStyle w:val="NoSpacing"/>
      </w:pPr>
    </w:p>
    <w:p w:rsidR="00F01AC3" w:rsidRDefault="00F01AC3" w:rsidP="00F01AC3">
      <w:pPr>
        <w:pStyle w:val="NoSpacing"/>
      </w:pPr>
    </w:p>
    <w:p w:rsidR="00F01AC3" w:rsidRDefault="00F01AC3" w:rsidP="00F01AC3">
      <w:pPr>
        <w:pStyle w:val="NoSpacing"/>
      </w:pPr>
    </w:p>
    <w:p w:rsidR="00F01AC3" w:rsidRDefault="00F01AC3" w:rsidP="00F01AC3">
      <w:pPr>
        <w:pStyle w:val="NoSpacing"/>
      </w:pPr>
    </w:p>
    <w:p w:rsidR="00F01AC3" w:rsidRDefault="00F01AC3" w:rsidP="00F01AC3">
      <w:pPr>
        <w:pStyle w:val="NoSpacing"/>
      </w:pPr>
    </w:p>
    <w:p w:rsidR="00F01AC3" w:rsidRDefault="00F01AC3" w:rsidP="00F01AC3">
      <w:pPr>
        <w:pStyle w:val="NoSpacing"/>
      </w:pPr>
    </w:p>
    <w:p w:rsidR="00F01AC3" w:rsidRDefault="00F01AC3" w:rsidP="00F01AC3">
      <w:pPr>
        <w:pStyle w:val="NoSpacing"/>
      </w:pPr>
    </w:p>
    <w:p w:rsidR="00F01AC3" w:rsidRDefault="00F01AC3" w:rsidP="00F01AC3">
      <w:pPr>
        <w:pStyle w:val="NoSpacing"/>
      </w:pPr>
    </w:p>
    <w:p w:rsidR="00F01AC3" w:rsidRDefault="00F01AC3" w:rsidP="00F01AC3">
      <w:pPr>
        <w:pStyle w:val="NoSpacing"/>
      </w:pPr>
    </w:p>
    <w:p w:rsidR="00F01AC3" w:rsidRDefault="00F01AC3" w:rsidP="00F01AC3">
      <w:pPr>
        <w:pStyle w:val="NoSpacing"/>
      </w:pPr>
    </w:p>
    <w:p w:rsidR="00F01AC3" w:rsidRDefault="00F01AC3" w:rsidP="00F01AC3">
      <w:pPr>
        <w:pStyle w:val="NoSpacing"/>
      </w:pPr>
    </w:p>
    <w:p w:rsidR="00F01AC3" w:rsidRDefault="00F01AC3" w:rsidP="00F01AC3">
      <w:pPr>
        <w:pStyle w:val="NoSpacing"/>
      </w:pPr>
    </w:p>
    <w:p w:rsidR="00F01AC3" w:rsidRDefault="00F01AC3" w:rsidP="00F01AC3">
      <w:pPr>
        <w:pStyle w:val="NoSpacing"/>
      </w:pPr>
    </w:p>
    <w:p w:rsidR="00F01AC3" w:rsidRDefault="00F01AC3" w:rsidP="00F01AC3">
      <w:pPr>
        <w:pStyle w:val="NoSpacing"/>
      </w:pPr>
    </w:p>
    <w:p w:rsidR="00F01AC3" w:rsidRDefault="00F01AC3" w:rsidP="00F01AC3">
      <w:pPr>
        <w:pStyle w:val="NoSpacing"/>
      </w:pPr>
    </w:p>
    <w:p w:rsidR="00F01AC3" w:rsidRDefault="00F01AC3" w:rsidP="00F01AC3">
      <w:pPr>
        <w:pStyle w:val="NoSpacing"/>
      </w:pPr>
    </w:p>
    <w:p w:rsidR="00F01AC3" w:rsidRPr="00F01AC3" w:rsidRDefault="00F01AC3" w:rsidP="00F01AC3">
      <w:pPr>
        <w:pStyle w:val="NoSpacing"/>
      </w:pPr>
    </w:p>
    <w:sectPr w:rsidR="00F01AC3" w:rsidRPr="00F01A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6A7D"/>
    <w:multiLevelType w:val="multilevel"/>
    <w:tmpl w:val="3B7A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0B9"/>
    <w:rsid w:val="004250B9"/>
    <w:rsid w:val="00F01AC3"/>
    <w:rsid w:val="00F95D8B"/>
    <w:rsid w:val="00FB7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A2CFB-8996-4A5C-A3DA-4D591564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50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250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250B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50B9"/>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4250B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4250B9"/>
    <w:pPr>
      <w:spacing w:after="0" w:line="240" w:lineRule="auto"/>
    </w:pPr>
  </w:style>
  <w:style w:type="character" w:customStyle="1" w:styleId="Heading1Char">
    <w:name w:val="Heading 1 Char"/>
    <w:basedOn w:val="DefaultParagraphFont"/>
    <w:link w:val="Heading1"/>
    <w:uiPriority w:val="9"/>
    <w:rsid w:val="004250B9"/>
    <w:rPr>
      <w:rFonts w:asciiTheme="majorHAnsi" w:eastAsiaTheme="majorEastAsia" w:hAnsiTheme="majorHAnsi" w:cstheme="majorBidi"/>
      <w:color w:val="2E74B5" w:themeColor="accent1" w:themeShade="BF"/>
      <w:sz w:val="32"/>
      <w:szCs w:val="32"/>
    </w:rPr>
  </w:style>
  <w:style w:type="character" w:customStyle="1" w:styleId="article-meta-section">
    <w:name w:val="article-meta-section"/>
    <w:basedOn w:val="DefaultParagraphFont"/>
    <w:rsid w:val="004250B9"/>
  </w:style>
  <w:style w:type="character" w:styleId="Hyperlink">
    <w:name w:val="Hyperlink"/>
    <w:basedOn w:val="DefaultParagraphFont"/>
    <w:uiPriority w:val="99"/>
    <w:semiHidden/>
    <w:unhideWhenUsed/>
    <w:rsid w:val="004250B9"/>
    <w:rPr>
      <w:color w:val="0000FF"/>
      <w:u w:val="single"/>
    </w:rPr>
  </w:style>
  <w:style w:type="character" w:customStyle="1" w:styleId="carousel-caption">
    <w:name w:val="carousel-caption"/>
    <w:basedOn w:val="DefaultParagraphFont"/>
    <w:rsid w:val="004250B9"/>
  </w:style>
  <w:style w:type="character" w:customStyle="1" w:styleId="Heading2Char">
    <w:name w:val="Heading 2 Char"/>
    <w:basedOn w:val="DefaultParagraphFont"/>
    <w:link w:val="Heading2"/>
    <w:uiPriority w:val="9"/>
    <w:semiHidden/>
    <w:rsid w:val="004250B9"/>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4250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4450">
      <w:bodyDiv w:val="1"/>
      <w:marLeft w:val="0"/>
      <w:marRight w:val="0"/>
      <w:marTop w:val="0"/>
      <w:marBottom w:val="0"/>
      <w:divBdr>
        <w:top w:val="none" w:sz="0" w:space="0" w:color="auto"/>
        <w:left w:val="none" w:sz="0" w:space="0" w:color="auto"/>
        <w:bottom w:val="none" w:sz="0" w:space="0" w:color="auto"/>
        <w:right w:val="none" w:sz="0" w:space="0" w:color="auto"/>
      </w:divBdr>
      <w:divsChild>
        <w:div w:id="2007130404">
          <w:marLeft w:val="0"/>
          <w:marRight w:val="0"/>
          <w:marTop w:val="0"/>
          <w:marBottom w:val="0"/>
          <w:divBdr>
            <w:top w:val="none" w:sz="0" w:space="0" w:color="auto"/>
            <w:left w:val="none" w:sz="0" w:space="0" w:color="auto"/>
            <w:bottom w:val="none" w:sz="0" w:space="0" w:color="auto"/>
            <w:right w:val="none" w:sz="0" w:space="0" w:color="auto"/>
          </w:divBdr>
        </w:div>
      </w:divsChild>
    </w:div>
    <w:div w:id="99880330">
      <w:bodyDiv w:val="1"/>
      <w:marLeft w:val="0"/>
      <w:marRight w:val="0"/>
      <w:marTop w:val="0"/>
      <w:marBottom w:val="0"/>
      <w:divBdr>
        <w:top w:val="none" w:sz="0" w:space="0" w:color="auto"/>
        <w:left w:val="none" w:sz="0" w:space="0" w:color="auto"/>
        <w:bottom w:val="none" w:sz="0" w:space="0" w:color="auto"/>
        <w:right w:val="none" w:sz="0" w:space="0" w:color="auto"/>
      </w:divBdr>
      <w:divsChild>
        <w:div w:id="1898928878">
          <w:marLeft w:val="0"/>
          <w:marRight w:val="0"/>
          <w:marTop w:val="0"/>
          <w:marBottom w:val="0"/>
          <w:divBdr>
            <w:top w:val="none" w:sz="0" w:space="0" w:color="auto"/>
            <w:left w:val="none" w:sz="0" w:space="0" w:color="auto"/>
            <w:bottom w:val="none" w:sz="0" w:space="0" w:color="auto"/>
            <w:right w:val="none" w:sz="0" w:space="0" w:color="auto"/>
          </w:divBdr>
        </w:div>
      </w:divsChild>
    </w:div>
    <w:div w:id="207033468">
      <w:bodyDiv w:val="1"/>
      <w:marLeft w:val="0"/>
      <w:marRight w:val="0"/>
      <w:marTop w:val="0"/>
      <w:marBottom w:val="0"/>
      <w:divBdr>
        <w:top w:val="none" w:sz="0" w:space="0" w:color="auto"/>
        <w:left w:val="none" w:sz="0" w:space="0" w:color="auto"/>
        <w:bottom w:val="none" w:sz="0" w:space="0" w:color="auto"/>
        <w:right w:val="none" w:sz="0" w:space="0" w:color="auto"/>
      </w:divBdr>
    </w:div>
    <w:div w:id="524291485">
      <w:bodyDiv w:val="1"/>
      <w:marLeft w:val="0"/>
      <w:marRight w:val="0"/>
      <w:marTop w:val="0"/>
      <w:marBottom w:val="0"/>
      <w:divBdr>
        <w:top w:val="none" w:sz="0" w:space="0" w:color="auto"/>
        <w:left w:val="none" w:sz="0" w:space="0" w:color="auto"/>
        <w:bottom w:val="none" w:sz="0" w:space="0" w:color="auto"/>
        <w:right w:val="none" w:sz="0" w:space="0" w:color="auto"/>
      </w:divBdr>
    </w:div>
    <w:div w:id="1288662546">
      <w:bodyDiv w:val="1"/>
      <w:marLeft w:val="0"/>
      <w:marRight w:val="0"/>
      <w:marTop w:val="0"/>
      <w:marBottom w:val="0"/>
      <w:divBdr>
        <w:top w:val="none" w:sz="0" w:space="0" w:color="auto"/>
        <w:left w:val="none" w:sz="0" w:space="0" w:color="auto"/>
        <w:bottom w:val="none" w:sz="0" w:space="0" w:color="auto"/>
        <w:right w:val="none" w:sz="0" w:space="0" w:color="auto"/>
      </w:divBdr>
      <w:divsChild>
        <w:div w:id="1441804283">
          <w:marLeft w:val="0"/>
          <w:marRight w:val="0"/>
          <w:marTop w:val="0"/>
          <w:marBottom w:val="300"/>
          <w:divBdr>
            <w:top w:val="none" w:sz="0" w:space="0" w:color="auto"/>
            <w:left w:val="none" w:sz="0" w:space="0" w:color="auto"/>
            <w:bottom w:val="none" w:sz="0" w:space="0" w:color="auto"/>
            <w:right w:val="none" w:sz="0" w:space="0" w:color="auto"/>
          </w:divBdr>
          <w:divsChild>
            <w:div w:id="743989987">
              <w:marLeft w:val="0"/>
              <w:marRight w:val="150"/>
              <w:marTop w:val="225"/>
              <w:marBottom w:val="0"/>
              <w:divBdr>
                <w:top w:val="none" w:sz="0" w:space="0" w:color="auto"/>
                <w:left w:val="none" w:sz="0" w:space="0" w:color="auto"/>
                <w:bottom w:val="none" w:sz="0" w:space="0" w:color="auto"/>
                <w:right w:val="none" w:sz="0" w:space="0" w:color="auto"/>
              </w:divBdr>
            </w:div>
          </w:divsChild>
        </w:div>
        <w:div w:id="1045374577">
          <w:marLeft w:val="0"/>
          <w:marRight w:val="454"/>
          <w:marTop w:val="0"/>
          <w:marBottom w:val="0"/>
          <w:divBdr>
            <w:top w:val="none" w:sz="0" w:space="0" w:color="auto"/>
            <w:left w:val="none" w:sz="0" w:space="0" w:color="auto"/>
            <w:bottom w:val="none" w:sz="0" w:space="0" w:color="auto"/>
            <w:right w:val="none" w:sz="0" w:space="0" w:color="auto"/>
          </w:divBdr>
        </w:div>
      </w:divsChild>
    </w:div>
    <w:div w:id="1457990104">
      <w:bodyDiv w:val="1"/>
      <w:marLeft w:val="0"/>
      <w:marRight w:val="0"/>
      <w:marTop w:val="0"/>
      <w:marBottom w:val="0"/>
      <w:divBdr>
        <w:top w:val="none" w:sz="0" w:space="0" w:color="auto"/>
        <w:left w:val="none" w:sz="0" w:space="0" w:color="auto"/>
        <w:bottom w:val="none" w:sz="0" w:space="0" w:color="auto"/>
        <w:right w:val="none" w:sz="0" w:space="0" w:color="auto"/>
      </w:divBdr>
      <w:divsChild>
        <w:div w:id="1329478441">
          <w:marLeft w:val="0"/>
          <w:marRight w:val="0"/>
          <w:marTop w:val="0"/>
          <w:marBottom w:val="0"/>
          <w:divBdr>
            <w:top w:val="none" w:sz="0" w:space="0" w:color="auto"/>
            <w:left w:val="none" w:sz="0" w:space="0" w:color="auto"/>
            <w:bottom w:val="none" w:sz="0" w:space="0" w:color="auto"/>
            <w:right w:val="none" w:sz="0" w:space="0" w:color="auto"/>
          </w:divBdr>
        </w:div>
      </w:divsChild>
    </w:div>
    <w:div w:id="1571698143">
      <w:bodyDiv w:val="1"/>
      <w:marLeft w:val="0"/>
      <w:marRight w:val="0"/>
      <w:marTop w:val="0"/>
      <w:marBottom w:val="0"/>
      <w:divBdr>
        <w:top w:val="none" w:sz="0" w:space="0" w:color="auto"/>
        <w:left w:val="none" w:sz="0" w:space="0" w:color="auto"/>
        <w:bottom w:val="none" w:sz="0" w:space="0" w:color="auto"/>
        <w:right w:val="none" w:sz="0" w:space="0" w:color="auto"/>
      </w:divBdr>
      <w:divsChild>
        <w:div w:id="1883010636">
          <w:marLeft w:val="0"/>
          <w:marRight w:val="0"/>
          <w:marTop w:val="0"/>
          <w:marBottom w:val="0"/>
          <w:divBdr>
            <w:top w:val="none" w:sz="0" w:space="0" w:color="auto"/>
            <w:left w:val="none" w:sz="0" w:space="0" w:color="auto"/>
            <w:bottom w:val="none" w:sz="0" w:space="0" w:color="auto"/>
            <w:right w:val="none" w:sz="0" w:space="0" w:color="auto"/>
          </w:divBdr>
        </w:div>
        <w:div w:id="1949466456">
          <w:marLeft w:val="0"/>
          <w:marRight w:val="0"/>
          <w:marTop w:val="0"/>
          <w:marBottom w:val="0"/>
          <w:divBdr>
            <w:top w:val="none" w:sz="0" w:space="0" w:color="auto"/>
            <w:left w:val="none" w:sz="0" w:space="0" w:color="auto"/>
            <w:bottom w:val="none" w:sz="0" w:space="0" w:color="auto"/>
            <w:right w:val="none" w:sz="0" w:space="0" w:color="auto"/>
          </w:divBdr>
        </w:div>
        <w:div w:id="645204711">
          <w:marLeft w:val="0"/>
          <w:marRight w:val="0"/>
          <w:marTop w:val="0"/>
          <w:marBottom w:val="0"/>
          <w:divBdr>
            <w:top w:val="none" w:sz="0" w:space="0" w:color="auto"/>
            <w:left w:val="none" w:sz="0" w:space="0" w:color="auto"/>
            <w:bottom w:val="none" w:sz="0" w:space="0" w:color="auto"/>
            <w:right w:val="none" w:sz="0" w:space="0" w:color="auto"/>
          </w:divBdr>
          <w:divsChild>
            <w:div w:id="21322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Nankivell</dc:creator>
  <cp:keywords/>
  <dc:description/>
  <cp:lastModifiedBy>Matthew Nankivell</cp:lastModifiedBy>
  <cp:revision>2</cp:revision>
  <dcterms:created xsi:type="dcterms:W3CDTF">2018-04-30T09:03:00Z</dcterms:created>
  <dcterms:modified xsi:type="dcterms:W3CDTF">2018-04-30T09:21:00Z</dcterms:modified>
</cp:coreProperties>
</file>